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A7C" w:rsidRPr="00E25A24" w:rsidRDefault="006E5A7C" w:rsidP="004B420B">
      <w:pPr>
        <w:pBdr>
          <w:bottom w:val="single" w:sz="12" w:space="1" w:color="auto"/>
        </w:pBdr>
        <w:ind w:left="-630" w:right="-720"/>
        <w:rPr>
          <w:rFonts w:eastAsia="Arial" w:cs="Arial"/>
          <w:b/>
          <w:bCs/>
          <w:color w:val="000000"/>
        </w:rPr>
      </w:pPr>
      <w:r w:rsidRPr="00E25A24">
        <w:rPr>
          <w:rFonts w:eastAsia="Arial" w:cs="Arial"/>
          <w:b/>
          <w:bCs/>
          <w:color w:val="000000"/>
        </w:rPr>
        <w:t xml:space="preserve">A Concept for </w:t>
      </w:r>
      <w:r w:rsidRPr="00E25A24">
        <w:rPr>
          <w:rFonts w:eastAsia="Arial" w:cs="Arial"/>
          <w:b/>
          <w:bCs/>
          <w:color w:val="FF0000"/>
        </w:rPr>
        <w:t>C</w:t>
      </w:r>
      <w:r w:rsidRPr="00E25A24">
        <w:rPr>
          <w:rFonts w:eastAsia="Arial" w:cs="Arial"/>
          <w:b/>
          <w:bCs/>
          <w:color w:val="000000"/>
        </w:rPr>
        <w:t xml:space="preserve">oordination of </w:t>
      </w:r>
      <w:r w:rsidRPr="00E25A24">
        <w:rPr>
          <w:rFonts w:eastAsia="Arial" w:cs="Arial"/>
          <w:b/>
          <w:bCs/>
          <w:color w:val="FF0000"/>
        </w:rPr>
        <w:t>C</w:t>
      </w:r>
      <w:r w:rsidRPr="00E25A24">
        <w:rPr>
          <w:rFonts w:eastAsia="Arial" w:cs="Arial"/>
          <w:b/>
          <w:bCs/>
          <w:color w:val="000000"/>
        </w:rPr>
        <w:t xml:space="preserve">ommunity </w:t>
      </w:r>
      <w:r w:rsidRPr="00E25A24">
        <w:rPr>
          <w:rFonts w:eastAsia="Arial" w:cs="Arial"/>
          <w:b/>
          <w:bCs/>
          <w:color w:val="FF0000"/>
        </w:rPr>
        <w:t>D</w:t>
      </w:r>
      <w:r w:rsidRPr="00E25A24">
        <w:rPr>
          <w:rFonts w:eastAsia="Arial" w:cs="Arial"/>
          <w:b/>
          <w:bCs/>
          <w:color w:val="000000"/>
        </w:rPr>
        <w:t xml:space="preserve">evelopment </w:t>
      </w:r>
      <w:r w:rsidRPr="00E25A24">
        <w:rPr>
          <w:rFonts w:eastAsia="Arial" w:cs="Arial"/>
          <w:b/>
          <w:bCs/>
          <w:color w:val="FF0000"/>
        </w:rPr>
        <w:t>C</w:t>
      </w:r>
      <w:r w:rsidRPr="00E25A24">
        <w:rPr>
          <w:rFonts w:eastAsia="Arial" w:cs="Arial"/>
          <w:b/>
          <w:bCs/>
          <w:color w:val="000000"/>
        </w:rPr>
        <w:t xml:space="preserve">apacity </w:t>
      </w:r>
      <w:r w:rsidRPr="00E25A24">
        <w:rPr>
          <w:rFonts w:eastAsia="Arial" w:cs="Arial"/>
          <w:b/>
          <w:bCs/>
          <w:color w:val="FF0000"/>
        </w:rPr>
        <w:t>B</w:t>
      </w:r>
      <w:r w:rsidRPr="00E25A24">
        <w:rPr>
          <w:rFonts w:eastAsia="Arial" w:cs="Arial"/>
          <w:b/>
          <w:bCs/>
          <w:color w:val="000000"/>
        </w:rPr>
        <w:t xml:space="preserve">uilding </w:t>
      </w:r>
      <w:proofErr w:type="gramStart"/>
      <w:r w:rsidRPr="00E25A24">
        <w:rPr>
          <w:rFonts w:eastAsia="Arial" w:cs="Arial"/>
          <w:b/>
          <w:bCs/>
          <w:color w:val="FF0000"/>
        </w:rPr>
        <w:t>S</w:t>
      </w:r>
      <w:r w:rsidRPr="00E25A24">
        <w:rPr>
          <w:rFonts w:eastAsia="Arial" w:cs="Arial"/>
          <w:b/>
          <w:bCs/>
          <w:color w:val="000000"/>
        </w:rPr>
        <w:t>ervices  (</w:t>
      </w:r>
      <w:proofErr w:type="gramEnd"/>
      <w:r w:rsidRPr="00E25A24">
        <w:rPr>
          <w:rFonts w:eastAsia="Arial" w:cs="Arial"/>
          <w:b/>
          <w:bCs/>
          <w:color w:val="FF0000"/>
        </w:rPr>
        <w:t>CCDCBS</w:t>
      </w:r>
      <w:r w:rsidRPr="00E25A24">
        <w:rPr>
          <w:rFonts w:eastAsia="Arial" w:cs="Arial"/>
          <w:b/>
          <w:bCs/>
          <w:color w:val="000000"/>
        </w:rPr>
        <w:t>)</w:t>
      </w:r>
    </w:p>
    <w:p w:rsidR="006E5A7C" w:rsidRPr="00E25A24" w:rsidRDefault="006E5A7C" w:rsidP="004B420B">
      <w:pPr>
        <w:pBdr>
          <w:bottom w:val="single" w:sz="12" w:space="1" w:color="auto"/>
        </w:pBdr>
        <w:ind w:left="-630" w:right="-720"/>
        <w:rPr>
          <w:rFonts w:eastAsia="Arial" w:cs="Arial"/>
          <w:b/>
          <w:bCs/>
          <w:color w:val="000000"/>
        </w:rPr>
      </w:pPr>
      <w:r w:rsidRPr="00E25A24">
        <w:rPr>
          <w:rFonts w:eastAsia="Arial" w:cs="Arial"/>
          <w:b/>
          <w:bCs/>
          <w:color w:val="000000"/>
        </w:rPr>
        <w:t xml:space="preserve">As Of </w:t>
      </w:r>
      <w:proofErr w:type="gramStart"/>
      <w:r w:rsidRPr="00E25A24">
        <w:rPr>
          <w:rFonts w:eastAsia="Arial" w:cs="Arial"/>
          <w:b/>
          <w:bCs/>
          <w:color w:val="000000"/>
        </w:rPr>
        <w:t>December</w:t>
      </w:r>
      <w:proofErr w:type="gramEnd"/>
      <w:r w:rsidRPr="00E25A24">
        <w:rPr>
          <w:rFonts w:eastAsia="Arial" w:cs="Arial"/>
          <w:b/>
          <w:bCs/>
          <w:color w:val="000000"/>
        </w:rPr>
        <w:t xml:space="preserve"> 1 2018</w:t>
      </w:r>
    </w:p>
    <w:p w:rsidR="006E5A7C" w:rsidRPr="00E25A24" w:rsidRDefault="006E5A7C" w:rsidP="004B420B">
      <w:pPr>
        <w:ind w:left="-630" w:right="-720"/>
        <w:rPr>
          <w:rFonts w:cs="Arial"/>
          <w:b/>
          <w:color w:val="000000"/>
        </w:rPr>
      </w:pPr>
    </w:p>
    <w:p w:rsidR="006E5A7C" w:rsidRPr="00E25A24" w:rsidRDefault="006E5A7C" w:rsidP="004B420B">
      <w:pPr>
        <w:ind w:left="-630" w:right="-720"/>
        <w:rPr>
          <w:rFonts w:cs="Arial"/>
          <w:b/>
          <w:color w:val="000000"/>
          <w:u w:val="single"/>
        </w:rPr>
      </w:pPr>
      <w:r w:rsidRPr="00E25A24">
        <w:rPr>
          <w:rFonts w:cs="Arial"/>
          <w:b/>
          <w:color w:val="000000"/>
        </w:rPr>
        <w:t>Overview</w:t>
      </w:r>
    </w:p>
    <w:p w:rsidR="006E5A7C" w:rsidRPr="00F22391" w:rsidRDefault="006E5A7C" w:rsidP="004B420B">
      <w:pPr>
        <w:ind w:left="-630" w:right="-720"/>
        <w:rPr>
          <w:rFonts w:cs="Arial"/>
          <w:color w:val="222222"/>
          <w:sz w:val="22"/>
          <w:szCs w:val="22"/>
        </w:rPr>
      </w:pPr>
      <w:r w:rsidRPr="00F22391">
        <w:rPr>
          <w:rFonts w:cs="Arial"/>
          <w:color w:val="222222"/>
          <w:sz w:val="22"/>
          <w:szCs w:val="22"/>
        </w:rPr>
        <w:t>The purpose of CCDCBS,</w:t>
      </w:r>
      <w:r w:rsidR="005737EF">
        <w:rPr>
          <w:rFonts w:cs="Arial"/>
          <w:color w:val="222222"/>
          <w:sz w:val="22"/>
          <w:szCs w:val="22"/>
        </w:rPr>
        <w:t xml:space="preserve"> </w:t>
      </w:r>
      <w:r w:rsidRPr="00F22391">
        <w:rPr>
          <w:rFonts w:cs="Arial"/>
          <w:color w:val="222222"/>
          <w:sz w:val="22"/>
          <w:szCs w:val="22"/>
        </w:rPr>
        <w:t>in general, is to better coordinate and align the capacity building services provided to Community Development Organizations and Grass Roots Organizations in Detroit, and then to properly resource those services to support a stronger and more effective community development system.</w:t>
      </w:r>
    </w:p>
    <w:p w:rsidR="006E5A7C" w:rsidRPr="00F22391" w:rsidRDefault="006E5A7C" w:rsidP="004B420B">
      <w:pPr>
        <w:ind w:left="-630" w:right="-720"/>
        <w:rPr>
          <w:rFonts w:cs="Arial"/>
          <w:color w:val="222222"/>
          <w:sz w:val="22"/>
          <w:szCs w:val="22"/>
        </w:rPr>
      </w:pPr>
    </w:p>
    <w:p w:rsidR="006E5A7C" w:rsidRPr="00F22391" w:rsidRDefault="006E5A7C" w:rsidP="004B420B">
      <w:pPr>
        <w:ind w:left="-630" w:right="-720"/>
        <w:rPr>
          <w:rFonts w:cs="Arial"/>
          <w:color w:val="222222"/>
          <w:sz w:val="22"/>
          <w:szCs w:val="22"/>
        </w:rPr>
      </w:pPr>
      <w:r w:rsidRPr="00F22391">
        <w:rPr>
          <w:rFonts w:cs="Arial"/>
          <w:color w:val="222222"/>
          <w:sz w:val="22"/>
          <w:szCs w:val="22"/>
        </w:rPr>
        <w:t xml:space="preserve">To prepare this concept, local and national research was conducted and added to data and input derived from a) a 2017 study of five cities, b) feedback from stakeholders from </w:t>
      </w:r>
      <w:proofErr w:type="gramStart"/>
      <w:r w:rsidRPr="00F22391">
        <w:rPr>
          <w:rFonts w:cs="Arial"/>
          <w:color w:val="222222"/>
          <w:sz w:val="22"/>
          <w:szCs w:val="22"/>
        </w:rPr>
        <w:t>Detroit,  and</w:t>
      </w:r>
      <w:proofErr w:type="gramEnd"/>
      <w:r w:rsidRPr="00F22391">
        <w:rPr>
          <w:rFonts w:cs="Arial"/>
          <w:color w:val="222222"/>
          <w:sz w:val="22"/>
          <w:szCs w:val="22"/>
        </w:rPr>
        <w:t xml:space="preserve"> c) the 2017 BECDD Summit.  Together this information was used to develop the following concept for review by the BECDD Intermediary System Task Force.  </w:t>
      </w:r>
    </w:p>
    <w:p w:rsidR="006E5A7C" w:rsidRPr="00F22391" w:rsidRDefault="006E5A7C" w:rsidP="004B420B">
      <w:pPr>
        <w:ind w:left="-630" w:right="-720"/>
        <w:rPr>
          <w:rFonts w:cs="Arial"/>
          <w:color w:val="222222"/>
          <w:sz w:val="22"/>
          <w:szCs w:val="22"/>
        </w:rPr>
      </w:pPr>
      <w:bookmarkStart w:id="0" w:name="_GoBack"/>
      <w:bookmarkEnd w:id="0"/>
    </w:p>
    <w:p w:rsidR="006E5A7C" w:rsidRPr="00F22391" w:rsidRDefault="006E5A7C" w:rsidP="004B420B">
      <w:pPr>
        <w:ind w:left="-630" w:right="-720"/>
        <w:rPr>
          <w:rFonts w:cs="Calibri"/>
          <w:color w:val="333333"/>
          <w:sz w:val="22"/>
          <w:szCs w:val="22"/>
        </w:rPr>
      </w:pPr>
      <w:r w:rsidRPr="00F22391">
        <w:rPr>
          <w:rFonts w:cs="Arial"/>
          <w:color w:val="222222"/>
          <w:sz w:val="22"/>
          <w:szCs w:val="22"/>
        </w:rPr>
        <w:t>As noted in the research, t</w:t>
      </w:r>
      <w:r w:rsidRPr="00F22391">
        <w:rPr>
          <w:rFonts w:cs="Calibri"/>
          <w:color w:val="333333"/>
          <w:sz w:val="22"/>
          <w:szCs w:val="22"/>
        </w:rPr>
        <w:t xml:space="preserve">here are a variety of </w:t>
      </w:r>
      <w:r w:rsidRPr="00F22391">
        <w:rPr>
          <w:rFonts w:cs="Calibri"/>
          <w:i/>
          <w:color w:val="333333"/>
          <w:sz w:val="22"/>
          <w:szCs w:val="22"/>
        </w:rPr>
        <w:t>state-wide nonprofit associations</w:t>
      </w:r>
      <w:r w:rsidRPr="00F22391">
        <w:rPr>
          <w:rFonts w:cs="Calibri"/>
          <w:color w:val="333333"/>
          <w:sz w:val="22"/>
          <w:szCs w:val="22"/>
        </w:rPr>
        <w:t xml:space="preserve"> and </w:t>
      </w:r>
      <w:r w:rsidRPr="00F22391">
        <w:rPr>
          <w:rFonts w:cs="Calibri"/>
          <w:i/>
          <w:color w:val="333333"/>
          <w:sz w:val="22"/>
          <w:szCs w:val="22"/>
        </w:rPr>
        <w:t>community development associations</w:t>
      </w:r>
      <w:r w:rsidRPr="00F22391">
        <w:rPr>
          <w:rFonts w:cs="Calibri"/>
          <w:color w:val="333333"/>
          <w:sz w:val="22"/>
          <w:szCs w:val="22"/>
        </w:rPr>
        <w:t xml:space="preserve"> that offer these kinds of services; and there are </w:t>
      </w:r>
      <w:r w:rsidRPr="00F22391">
        <w:rPr>
          <w:rFonts w:cs="Calibri"/>
          <w:i/>
          <w:color w:val="333333"/>
          <w:sz w:val="22"/>
          <w:szCs w:val="22"/>
        </w:rPr>
        <w:t>models driven by funders and intermediaries</w:t>
      </w:r>
      <w:r w:rsidRPr="00F22391">
        <w:rPr>
          <w:rFonts w:cs="Calibri"/>
          <w:color w:val="333333"/>
          <w:sz w:val="22"/>
          <w:szCs w:val="22"/>
        </w:rPr>
        <w:t xml:space="preserve">. </w:t>
      </w:r>
      <w:r w:rsidRPr="00F22391">
        <w:rPr>
          <w:rFonts w:cs="Arial"/>
          <w:color w:val="000000"/>
          <w:sz w:val="22"/>
          <w:szCs w:val="22"/>
        </w:rPr>
        <w:t xml:space="preserve">The unique idea for a Detroit CCDCBS is to build from existing assets by creating a </w:t>
      </w:r>
      <w:r w:rsidRPr="00F22391">
        <w:rPr>
          <w:rFonts w:cs="Arial"/>
          <w:b/>
          <w:color w:val="000000"/>
          <w:sz w:val="22"/>
          <w:szCs w:val="22"/>
        </w:rPr>
        <w:t>centralized entry point</w:t>
      </w:r>
      <w:r w:rsidRPr="00F22391">
        <w:rPr>
          <w:rFonts w:cs="Arial"/>
          <w:color w:val="000000"/>
          <w:sz w:val="22"/>
          <w:szCs w:val="22"/>
        </w:rPr>
        <w:t xml:space="preserve"> and add components such as: managing a </w:t>
      </w:r>
      <w:r w:rsidRPr="00F22391">
        <w:rPr>
          <w:rFonts w:cs="Arial"/>
          <w:b/>
          <w:color w:val="000000"/>
          <w:sz w:val="22"/>
          <w:szCs w:val="22"/>
        </w:rPr>
        <w:t>quality control</w:t>
      </w:r>
      <w:r w:rsidRPr="00F22391">
        <w:rPr>
          <w:rFonts w:cs="Arial"/>
          <w:color w:val="000000"/>
          <w:sz w:val="22"/>
          <w:szCs w:val="22"/>
        </w:rPr>
        <w:t xml:space="preserve"> system to vet and assess TA providers, handling </w:t>
      </w:r>
      <w:r w:rsidRPr="00F22391">
        <w:rPr>
          <w:rFonts w:cs="Arial"/>
          <w:b/>
          <w:color w:val="000000"/>
          <w:sz w:val="22"/>
          <w:szCs w:val="22"/>
        </w:rPr>
        <w:t>intake and referrals</w:t>
      </w:r>
      <w:r w:rsidRPr="00F22391">
        <w:rPr>
          <w:rFonts w:cs="Arial"/>
          <w:color w:val="000000"/>
          <w:sz w:val="22"/>
          <w:szCs w:val="22"/>
        </w:rPr>
        <w:t xml:space="preserve">, </w:t>
      </w:r>
      <w:r w:rsidRPr="00F22391">
        <w:rPr>
          <w:rFonts w:cs="Arial"/>
          <w:b/>
          <w:color w:val="000000"/>
          <w:sz w:val="22"/>
          <w:szCs w:val="22"/>
        </w:rPr>
        <w:t>assessing the capacity and needs of CDOs and GROs</w:t>
      </w:r>
      <w:r w:rsidRPr="00F22391">
        <w:rPr>
          <w:rFonts w:cs="Arial"/>
          <w:color w:val="000000"/>
          <w:sz w:val="22"/>
          <w:szCs w:val="22"/>
        </w:rPr>
        <w:t xml:space="preserve"> and providing both </w:t>
      </w:r>
      <w:r w:rsidRPr="00F22391">
        <w:rPr>
          <w:rFonts w:cs="Arial"/>
          <w:b/>
          <w:color w:val="000000"/>
          <w:sz w:val="22"/>
          <w:szCs w:val="22"/>
        </w:rPr>
        <w:t>fee-based and free access</w:t>
      </w:r>
      <w:r w:rsidRPr="00F22391">
        <w:rPr>
          <w:rFonts w:cs="Arial"/>
          <w:color w:val="000000"/>
          <w:sz w:val="22"/>
          <w:szCs w:val="22"/>
        </w:rPr>
        <w:t xml:space="preserve"> to technical assistance (TA) service providers in a more formal way.</w:t>
      </w:r>
    </w:p>
    <w:p w:rsidR="006E5A7C" w:rsidRPr="00E25A24" w:rsidRDefault="006E5A7C" w:rsidP="004B420B">
      <w:pPr>
        <w:ind w:left="-630" w:right="-720"/>
        <w:rPr>
          <w:rFonts w:cs="Arial"/>
          <w:color w:val="385623"/>
        </w:rPr>
      </w:pPr>
    </w:p>
    <w:p w:rsidR="004B420B" w:rsidRDefault="004B420B" w:rsidP="004B420B">
      <w:pPr>
        <w:ind w:left="-630" w:right="-720"/>
        <w:rPr>
          <w:rFonts w:cs="Arial"/>
          <w:b/>
          <w:color w:val="000000"/>
        </w:rPr>
      </w:pPr>
    </w:p>
    <w:p w:rsidR="004B420B" w:rsidRDefault="004B420B" w:rsidP="004B420B">
      <w:pPr>
        <w:ind w:left="-630" w:right="-720"/>
        <w:rPr>
          <w:rFonts w:cs="Arial"/>
          <w:b/>
          <w:color w:val="000000"/>
        </w:rPr>
      </w:pPr>
    </w:p>
    <w:p w:rsidR="004B420B" w:rsidRDefault="004B420B" w:rsidP="004B420B">
      <w:pPr>
        <w:ind w:left="-630" w:right="-720"/>
        <w:rPr>
          <w:rFonts w:cs="Arial"/>
          <w:b/>
          <w:color w:val="000000"/>
        </w:rPr>
      </w:pPr>
    </w:p>
    <w:p w:rsidR="004B420B" w:rsidRDefault="004B420B" w:rsidP="004B420B">
      <w:pPr>
        <w:ind w:left="-630" w:right="-720"/>
        <w:rPr>
          <w:rFonts w:cs="Arial"/>
          <w:b/>
          <w:color w:val="000000"/>
        </w:rPr>
      </w:pPr>
    </w:p>
    <w:p w:rsidR="004B420B" w:rsidRDefault="004B420B" w:rsidP="004B420B">
      <w:pPr>
        <w:ind w:left="-630" w:right="-720"/>
        <w:rPr>
          <w:rFonts w:cs="Arial"/>
          <w:b/>
          <w:color w:val="000000"/>
        </w:rPr>
      </w:pPr>
    </w:p>
    <w:p w:rsidR="004B420B" w:rsidRDefault="004B420B" w:rsidP="004B420B">
      <w:pPr>
        <w:ind w:left="-630" w:right="-720"/>
        <w:rPr>
          <w:rFonts w:cs="Arial"/>
          <w:b/>
          <w:color w:val="000000"/>
        </w:rPr>
      </w:pPr>
    </w:p>
    <w:p w:rsidR="004B420B" w:rsidRDefault="004B420B" w:rsidP="004B420B">
      <w:pPr>
        <w:ind w:left="-630" w:right="-720"/>
        <w:rPr>
          <w:rFonts w:cs="Arial"/>
          <w:b/>
          <w:color w:val="000000"/>
        </w:rPr>
      </w:pPr>
    </w:p>
    <w:p w:rsidR="004B420B" w:rsidRDefault="004B420B" w:rsidP="004B420B">
      <w:pPr>
        <w:ind w:left="-630" w:right="-720"/>
        <w:rPr>
          <w:rFonts w:cs="Arial"/>
          <w:b/>
          <w:color w:val="000000"/>
        </w:rPr>
      </w:pPr>
    </w:p>
    <w:p w:rsidR="004B420B" w:rsidRDefault="004B420B" w:rsidP="004B420B">
      <w:pPr>
        <w:ind w:left="-630" w:right="-720"/>
        <w:rPr>
          <w:rFonts w:cs="Arial"/>
          <w:b/>
          <w:color w:val="000000"/>
        </w:rPr>
      </w:pPr>
    </w:p>
    <w:p w:rsidR="004B420B" w:rsidRDefault="004B420B" w:rsidP="004B420B">
      <w:pPr>
        <w:ind w:left="-630" w:right="-720"/>
        <w:rPr>
          <w:rFonts w:cs="Arial"/>
          <w:b/>
          <w:color w:val="000000"/>
        </w:rPr>
      </w:pPr>
    </w:p>
    <w:p w:rsidR="004B420B" w:rsidRDefault="004B420B" w:rsidP="004B420B">
      <w:pPr>
        <w:ind w:left="-630" w:right="-720"/>
        <w:rPr>
          <w:rFonts w:cs="Arial"/>
          <w:b/>
          <w:color w:val="000000"/>
        </w:rPr>
      </w:pPr>
    </w:p>
    <w:p w:rsidR="004B420B" w:rsidRDefault="004B420B" w:rsidP="004B420B">
      <w:pPr>
        <w:ind w:left="-630" w:right="-720"/>
        <w:rPr>
          <w:rFonts w:cs="Arial"/>
          <w:b/>
          <w:color w:val="000000"/>
        </w:rPr>
      </w:pPr>
    </w:p>
    <w:p w:rsidR="004B420B" w:rsidRDefault="004B420B" w:rsidP="004B420B">
      <w:pPr>
        <w:ind w:left="-630" w:right="-720"/>
        <w:rPr>
          <w:rFonts w:cs="Arial"/>
          <w:b/>
          <w:color w:val="000000"/>
        </w:rPr>
      </w:pPr>
    </w:p>
    <w:p w:rsidR="004B420B" w:rsidRDefault="004B420B" w:rsidP="004B420B">
      <w:pPr>
        <w:ind w:left="-630" w:right="-720"/>
        <w:rPr>
          <w:rFonts w:cs="Arial"/>
          <w:b/>
          <w:color w:val="000000"/>
        </w:rPr>
      </w:pPr>
    </w:p>
    <w:p w:rsidR="004B420B" w:rsidRDefault="004B420B" w:rsidP="004B420B">
      <w:pPr>
        <w:ind w:left="-630" w:right="-720"/>
        <w:rPr>
          <w:rFonts w:cs="Arial"/>
          <w:b/>
          <w:color w:val="000000"/>
        </w:rPr>
      </w:pPr>
    </w:p>
    <w:p w:rsidR="004B420B" w:rsidRDefault="004B420B" w:rsidP="004B420B">
      <w:pPr>
        <w:ind w:left="-630" w:right="-720"/>
        <w:rPr>
          <w:rFonts w:cs="Arial"/>
          <w:b/>
          <w:color w:val="000000"/>
        </w:rPr>
      </w:pPr>
    </w:p>
    <w:p w:rsidR="004B420B" w:rsidRDefault="004B420B" w:rsidP="004B420B">
      <w:pPr>
        <w:ind w:left="-630" w:right="-720"/>
        <w:rPr>
          <w:rFonts w:cs="Arial"/>
          <w:b/>
          <w:color w:val="000000"/>
        </w:rPr>
      </w:pPr>
    </w:p>
    <w:p w:rsidR="004B420B" w:rsidRDefault="004B420B" w:rsidP="004B420B">
      <w:pPr>
        <w:ind w:left="-630" w:right="-720"/>
        <w:rPr>
          <w:rFonts w:cs="Arial"/>
          <w:b/>
          <w:color w:val="000000"/>
        </w:rPr>
      </w:pPr>
    </w:p>
    <w:p w:rsidR="004B420B" w:rsidRDefault="004B420B" w:rsidP="004B420B">
      <w:pPr>
        <w:ind w:left="-630" w:right="-720"/>
        <w:rPr>
          <w:rFonts w:cs="Arial"/>
          <w:b/>
          <w:color w:val="000000"/>
        </w:rPr>
      </w:pPr>
    </w:p>
    <w:p w:rsidR="004B420B" w:rsidRDefault="004B420B" w:rsidP="004B420B">
      <w:pPr>
        <w:ind w:left="-630" w:right="-720"/>
        <w:rPr>
          <w:rFonts w:cs="Arial"/>
          <w:b/>
          <w:color w:val="000000"/>
        </w:rPr>
      </w:pPr>
    </w:p>
    <w:p w:rsidR="006E5A7C" w:rsidRPr="00E25A24" w:rsidRDefault="006E5A7C" w:rsidP="004B420B">
      <w:pPr>
        <w:ind w:left="-630" w:right="-720"/>
        <w:rPr>
          <w:rFonts w:cs="Arial"/>
          <w:b/>
          <w:color w:val="000000"/>
        </w:rPr>
      </w:pPr>
      <w:r w:rsidRPr="00E25A24">
        <w:rPr>
          <w:rFonts w:cs="Arial"/>
          <w:b/>
          <w:color w:val="000000"/>
        </w:rPr>
        <w:lastRenderedPageBreak/>
        <w:t>Functions of CCDCBS:</w:t>
      </w:r>
    </w:p>
    <w:p w:rsidR="004B420B" w:rsidRDefault="004B420B" w:rsidP="004B420B">
      <w:pPr>
        <w:ind w:left="-630" w:right="-720"/>
        <w:rPr>
          <w:rFonts w:cs="Arial"/>
          <w:color w:val="000000"/>
        </w:rPr>
      </w:pPr>
      <w:r>
        <w:rPr>
          <w:noProof/>
        </w:rPr>
        <w:drawing>
          <wp:anchor distT="12192" distB="29140" distL="114300" distR="129951" simplePos="0" relativeHeight="251657728" behindDoc="0" locked="0" layoutInCell="1" allowOverlap="1">
            <wp:simplePos x="0" y="0"/>
            <wp:positionH relativeFrom="column">
              <wp:posOffset>50800</wp:posOffset>
            </wp:positionH>
            <wp:positionV relativeFrom="paragraph">
              <wp:posOffset>265811</wp:posOffset>
            </wp:positionV>
            <wp:extent cx="6114415" cy="3415665"/>
            <wp:effectExtent l="0" t="12700" r="0" b="13335"/>
            <wp:wrapSquare wrapText="bothSides"/>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6E5A7C" w:rsidRPr="00E25A24">
        <w:rPr>
          <w:rFonts w:cs="Arial"/>
          <w:color w:val="000000"/>
        </w:rPr>
        <w:t>CCDCBS would result in a variety of services as outlined below:</w:t>
      </w:r>
    </w:p>
    <w:p w:rsidR="004B420B" w:rsidRDefault="004B420B" w:rsidP="004B420B">
      <w:pPr>
        <w:ind w:left="-630" w:right="-720"/>
        <w:rPr>
          <w:rFonts w:cs="Arial"/>
          <w:color w:val="000000"/>
        </w:rPr>
      </w:pPr>
    </w:p>
    <w:p w:rsidR="00C645DC" w:rsidRPr="004B420B" w:rsidRDefault="00C645DC" w:rsidP="004B420B">
      <w:pPr>
        <w:ind w:left="-630" w:right="-720"/>
        <w:rPr>
          <w:rFonts w:cs="Arial"/>
          <w:color w:val="385623"/>
        </w:rPr>
      </w:pPr>
      <w:r w:rsidRPr="00E25A24">
        <w:rPr>
          <w:rFonts w:eastAsia="Arial" w:cs="Arial"/>
          <w:b/>
          <w:iCs/>
          <w:color w:val="000000"/>
        </w:rPr>
        <w:t>Overall Management of the CCDCBS Function</w:t>
      </w:r>
    </w:p>
    <w:p w:rsidR="00C645DC" w:rsidRPr="00F22391" w:rsidRDefault="00C645DC" w:rsidP="004B420B">
      <w:pPr>
        <w:ind w:left="-630" w:right="-720"/>
        <w:rPr>
          <w:rFonts w:eastAsia="Arial" w:cs="Arial"/>
          <w:iCs/>
          <w:color w:val="000000"/>
          <w:sz w:val="22"/>
          <w:szCs w:val="22"/>
        </w:rPr>
      </w:pPr>
      <w:r w:rsidRPr="00F22391">
        <w:rPr>
          <w:rFonts w:eastAsia="Arial" w:cs="Arial"/>
          <w:iCs/>
          <w:color w:val="000000"/>
          <w:sz w:val="22"/>
          <w:szCs w:val="22"/>
        </w:rPr>
        <w:t>There are several approaches that could be taken to assure that this function is handled.  These options will be vetted during 2019.   As of this writing, the option that is being looked at closely is that an organization - presumably with experience in community development and/or experience with capacity building– would serve as the overall coordinator of the CCDCBS function, and work closely with key partners (capacity building providers and community development client organizations) to provide the services described in the next sections.</w:t>
      </w:r>
    </w:p>
    <w:p w:rsidR="00C645DC" w:rsidRPr="00E25A24" w:rsidRDefault="00C645DC" w:rsidP="004B420B">
      <w:pPr>
        <w:ind w:left="-630" w:right="-720"/>
        <w:rPr>
          <w:rFonts w:eastAsia="Arial" w:cs="Arial"/>
          <w:iCs/>
          <w:color w:val="000000"/>
        </w:rPr>
      </w:pPr>
    </w:p>
    <w:p w:rsidR="00C645DC" w:rsidRPr="00E25A24" w:rsidRDefault="00C645DC" w:rsidP="004B420B">
      <w:pPr>
        <w:ind w:left="-630" w:right="-720"/>
        <w:rPr>
          <w:rFonts w:eastAsia="Arial" w:cs="Arial"/>
          <w:b/>
          <w:iCs/>
          <w:color w:val="000000"/>
        </w:rPr>
      </w:pPr>
      <w:r w:rsidRPr="00E25A24">
        <w:rPr>
          <w:rFonts w:eastAsia="Arial" w:cs="Arial"/>
          <w:b/>
          <w:iCs/>
          <w:color w:val="000000"/>
        </w:rPr>
        <w:t xml:space="preserve">Intake </w:t>
      </w:r>
    </w:p>
    <w:p w:rsidR="00C645DC" w:rsidRPr="00F22391" w:rsidRDefault="00C645DC" w:rsidP="004B420B">
      <w:pPr>
        <w:ind w:left="-630" w:right="-720"/>
        <w:rPr>
          <w:rFonts w:eastAsia="Arial" w:cs="Arial"/>
          <w:iCs/>
          <w:color w:val="000000"/>
          <w:sz w:val="22"/>
          <w:szCs w:val="22"/>
        </w:rPr>
      </w:pPr>
      <w:r w:rsidRPr="00F22391">
        <w:rPr>
          <w:rFonts w:eastAsia="Arial" w:cs="Arial"/>
          <w:iCs/>
          <w:color w:val="000000"/>
          <w:sz w:val="22"/>
          <w:szCs w:val="22"/>
        </w:rPr>
        <w:t>A central “entry point” of intake would provide information on general services that are being offered to potential client organizations through a variety of means: in-person, through social media, referrals by other organizations and the web.  Intake could be face-to-face or electronic.  Hard copy applications or requests for services would be accepted.</w:t>
      </w:r>
    </w:p>
    <w:p w:rsidR="00C645DC" w:rsidRPr="00F22391" w:rsidRDefault="00C645DC" w:rsidP="004B420B">
      <w:pPr>
        <w:ind w:left="-630" w:right="-720"/>
        <w:rPr>
          <w:rFonts w:eastAsia="Arial" w:cs="Arial"/>
          <w:iCs/>
          <w:color w:val="000000"/>
          <w:sz w:val="22"/>
          <w:szCs w:val="22"/>
        </w:rPr>
      </w:pPr>
    </w:p>
    <w:p w:rsidR="00C645DC" w:rsidRPr="00F22391" w:rsidRDefault="00C645DC" w:rsidP="004B420B">
      <w:pPr>
        <w:ind w:left="-630" w:right="-720"/>
        <w:rPr>
          <w:rFonts w:eastAsia="Arial" w:cs="Arial"/>
          <w:iCs/>
          <w:color w:val="000000"/>
          <w:sz w:val="22"/>
          <w:szCs w:val="22"/>
        </w:rPr>
      </w:pPr>
      <w:r w:rsidRPr="00F22391">
        <w:rPr>
          <w:rFonts w:eastAsia="Arial" w:cs="Arial"/>
          <w:iCs/>
          <w:color w:val="000000"/>
          <w:sz w:val="22"/>
          <w:szCs w:val="22"/>
        </w:rPr>
        <w:t xml:space="preserve">The intake would allow organizations to self-identify their capacity needs; both “baseline” nonprofit needs as well as needs specific to community development work.   The intake would also allow client organizations to opt in or out of an </w:t>
      </w:r>
      <w:r w:rsidRPr="00F22391">
        <w:rPr>
          <w:rFonts w:eastAsia="Arial" w:cs="Arial"/>
          <w:i/>
          <w:iCs/>
          <w:color w:val="000000"/>
          <w:sz w:val="22"/>
          <w:szCs w:val="22"/>
        </w:rPr>
        <w:t>overall</w:t>
      </w:r>
      <w:r w:rsidRPr="00F22391">
        <w:rPr>
          <w:rFonts w:eastAsia="Arial" w:cs="Arial"/>
          <w:iCs/>
          <w:color w:val="000000"/>
          <w:sz w:val="22"/>
          <w:szCs w:val="22"/>
        </w:rPr>
        <w:t xml:space="preserve"> organizational assessment.</w:t>
      </w:r>
    </w:p>
    <w:p w:rsidR="00C645DC" w:rsidRPr="00E25A24" w:rsidRDefault="00C645DC" w:rsidP="004B420B">
      <w:pPr>
        <w:ind w:left="-630" w:right="-720"/>
        <w:rPr>
          <w:rFonts w:eastAsia="Arial" w:cs="Arial"/>
          <w:b/>
          <w:iCs/>
          <w:color w:val="000000"/>
        </w:rPr>
      </w:pPr>
    </w:p>
    <w:p w:rsidR="004B420B" w:rsidRDefault="004B420B" w:rsidP="004B420B">
      <w:pPr>
        <w:ind w:left="-630" w:right="-720"/>
        <w:rPr>
          <w:rFonts w:eastAsia="Arial" w:cs="Arial"/>
          <w:b/>
          <w:iCs/>
          <w:color w:val="000000"/>
        </w:rPr>
      </w:pPr>
    </w:p>
    <w:p w:rsidR="00C645DC" w:rsidRPr="00E25A24" w:rsidRDefault="00C645DC" w:rsidP="004B420B">
      <w:pPr>
        <w:ind w:left="-630" w:right="-720"/>
        <w:rPr>
          <w:rFonts w:eastAsia="Arial" w:cs="Arial"/>
          <w:b/>
          <w:iCs/>
          <w:color w:val="000000"/>
        </w:rPr>
      </w:pPr>
      <w:r w:rsidRPr="00E25A24">
        <w:rPr>
          <w:rFonts w:eastAsia="Arial" w:cs="Arial"/>
          <w:b/>
          <w:iCs/>
          <w:color w:val="000000"/>
        </w:rPr>
        <w:lastRenderedPageBreak/>
        <w:t>Assessment</w:t>
      </w:r>
    </w:p>
    <w:p w:rsidR="00C645DC" w:rsidRPr="00F22391" w:rsidRDefault="00C645DC" w:rsidP="004B420B">
      <w:pPr>
        <w:ind w:left="-630" w:right="-720"/>
        <w:rPr>
          <w:rFonts w:eastAsia="Arial" w:cs="Arial"/>
          <w:iCs/>
          <w:color w:val="000000"/>
          <w:sz w:val="22"/>
          <w:szCs w:val="22"/>
        </w:rPr>
      </w:pPr>
      <w:r w:rsidRPr="00E25A24">
        <w:rPr>
          <w:rFonts w:eastAsia="Arial" w:cs="Arial"/>
          <w:iCs/>
          <w:color w:val="000000"/>
        </w:rPr>
        <w:t xml:space="preserve">for a collaboration between the community development sector specifically, and the Nonprofit </w:t>
      </w:r>
      <w:r w:rsidRPr="00F22391">
        <w:rPr>
          <w:rFonts w:eastAsia="Arial" w:cs="Arial"/>
          <w:iCs/>
          <w:color w:val="000000"/>
          <w:sz w:val="22"/>
          <w:szCs w:val="22"/>
        </w:rPr>
        <w:t>Similarly, the assessment tool could allow organizations to self-identify their capacity needs, with the guidance of professional staff; and pair that with a series of questions that allow for a neutral third-party review of capacity needs. Two kinds of assessments would be important: one, to identify baseline nonprofit capacity needs and two, to identify those needs specific to the community development sub-sector.</w:t>
      </w:r>
    </w:p>
    <w:p w:rsidR="00C645DC" w:rsidRPr="00F22391" w:rsidRDefault="00C645DC" w:rsidP="004B420B">
      <w:pPr>
        <w:ind w:left="-630" w:right="-720"/>
        <w:rPr>
          <w:rFonts w:eastAsia="Arial" w:cs="Arial"/>
          <w:iCs/>
          <w:color w:val="000000"/>
          <w:sz w:val="22"/>
          <w:szCs w:val="22"/>
        </w:rPr>
      </w:pPr>
    </w:p>
    <w:p w:rsidR="00C645DC" w:rsidRPr="00F22391" w:rsidRDefault="00C645DC" w:rsidP="004B420B">
      <w:pPr>
        <w:ind w:left="-630" w:right="-720"/>
        <w:rPr>
          <w:rFonts w:eastAsia="Arial" w:cs="Arial"/>
          <w:iCs/>
          <w:color w:val="000000"/>
          <w:sz w:val="22"/>
          <w:szCs w:val="22"/>
        </w:rPr>
      </w:pPr>
      <w:r w:rsidRPr="00F22391">
        <w:rPr>
          <w:rFonts w:eastAsia="Arial" w:cs="Arial"/>
          <w:iCs/>
          <w:color w:val="000000"/>
          <w:sz w:val="22"/>
          <w:szCs w:val="22"/>
        </w:rPr>
        <w:t xml:space="preserve">For instance, if a partnership were developed with the Center for Nonprofit Support, the Center could use the Assessment process created by MNA to identify general nonprofit capacity needs while adding a secondary assessment process specific to community development. </w:t>
      </w:r>
    </w:p>
    <w:p w:rsidR="00C645DC" w:rsidRPr="00F22391" w:rsidRDefault="00C645DC" w:rsidP="004B420B">
      <w:pPr>
        <w:ind w:left="-630" w:right="-720"/>
        <w:rPr>
          <w:rFonts w:eastAsia="Arial" w:cs="Arial"/>
          <w:iCs/>
          <w:color w:val="000000"/>
          <w:sz w:val="22"/>
          <w:szCs w:val="22"/>
        </w:rPr>
      </w:pPr>
    </w:p>
    <w:p w:rsidR="00C645DC" w:rsidRPr="00F22391" w:rsidRDefault="00C645DC" w:rsidP="004B420B">
      <w:pPr>
        <w:ind w:left="-630" w:right="-720"/>
        <w:rPr>
          <w:rFonts w:eastAsia="Arial" w:cs="Arial"/>
          <w:iCs/>
          <w:color w:val="000000"/>
          <w:sz w:val="22"/>
          <w:szCs w:val="22"/>
        </w:rPr>
      </w:pPr>
      <w:r w:rsidRPr="00F22391">
        <w:rPr>
          <w:rFonts w:eastAsia="Arial" w:cs="Arial"/>
          <w:iCs/>
          <w:color w:val="000000"/>
          <w:sz w:val="22"/>
          <w:szCs w:val="22"/>
        </w:rPr>
        <w:t>The assessment would first identify whether an organization is</w:t>
      </w:r>
    </w:p>
    <w:p w:rsidR="00C645DC" w:rsidRPr="00F22391" w:rsidRDefault="00C645DC" w:rsidP="004B420B">
      <w:pPr>
        <w:numPr>
          <w:ilvl w:val="0"/>
          <w:numId w:val="5"/>
        </w:numPr>
        <w:ind w:left="-630" w:right="-720"/>
        <w:rPr>
          <w:rFonts w:eastAsia="Arial" w:cs="Arial"/>
          <w:iCs/>
          <w:color w:val="000000"/>
          <w:sz w:val="22"/>
          <w:szCs w:val="22"/>
        </w:rPr>
      </w:pPr>
      <w:r w:rsidRPr="00F22391">
        <w:rPr>
          <w:rFonts w:eastAsia="Arial" w:cs="Arial"/>
          <w:iCs/>
          <w:color w:val="000000"/>
          <w:sz w:val="22"/>
          <w:szCs w:val="22"/>
        </w:rPr>
        <w:t xml:space="preserve">a Grassroots Organization (GRO) (volunteer block clubs, neighborhood associations, business groups, school groups, etc.) </w:t>
      </w:r>
    </w:p>
    <w:p w:rsidR="00C645DC" w:rsidRPr="00F22391" w:rsidRDefault="00C645DC" w:rsidP="004B420B">
      <w:pPr>
        <w:numPr>
          <w:ilvl w:val="0"/>
          <w:numId w:val="5"/>
        </w:numPr>
        <w:ind w:left="-630" w:right="-720"/>
        <w:rPr>
          <w:rFonts w:eastAsia="Arial" w:cs="Arial"/>
          <w:iCs/>
          <w:color w:val="000000"/>
          <w:sz w:val="22"/>
          <w:szCs w:val="22"/>
        </w:rPr>
      </w:pPr>
      <w:r w:rsidRPr="00F22391">
        <w:rPr>
          <w:rFonts w:eastAsia="Arial" w:cs="Arial"/>
          <w:iCs/>
          <w:color w:val="000000"/>
          <w:sz w:val="22"/>
          <w:szCs w:val="22"/>
        </w:rPr>
        <w:t xml:space="preserve">or a professional Community Development Organization (CDO).  </w:t>
      </w:r>
    </w:p>
    <w:p w:rsidR="00C645DC" w:rsidRPr="00F22391" w:rsidRDefault="00C645DC" w:rsidP="004B420B">
      <w:pPr>
        <w:ind w:left="-630" w:right="-720"/>
        <w:rPr>
          <w:rFonts w:eastAsia="Arial" w:cs="Arial"/>
          <w:iCs/>
          <w:color w:val="000000"/>
          <w:sz w:val="22"/>
          <w:szCs w:val="22"/>
        </w:rPr>
      </w:pPr>
      <w:r w:rsidRPr="00F22391">
        <w:rPr>
          <w:rFonts w:eastAsia="Arial" w:cs="Arial"/>
          <w:iCs/>
          <w:color w:val="000000"/>
          <w:sz w:val="22"/>
          <w:szCs w:val="22"/>
        </w:rPr>
        <w:t xml:space="preserve">Because the roles are different between these two types of organizations, the capacity building services would also be different. </w:t>
      </w:r>
    </w:p>
    <w:p w:rsidR="00C645DC" w:rsidRPr="00F22391" w:rsidRDefault="00C645DC" w:rsidP="004B420B">
      <w:pPr>
        <w:ind w:left="-630" w:right="-720"/>
        <w:rPr>
          <w:rFonts w:eastAsia="Arial" w:cs="Arial"/>
          <w:iCs/>
          <w:color w:val="000000"/>
          <w:sz w:val="22"/>
          <w:szCs w:val="22"/>
        </w:rPr>
      </w:pPr>
    </w:p>
    <w:p w:rsidR="00C645DC" w:rsidRPr="00F22391" w:rsidRDefault="00C645DC" w:rsidP="004B420B">
      <w:pPr>
        <w:ind w:left="-630" w:right="-720"/>
        <w:rPr>
          <w:rFonts w:eastAsia="Arial" w:cs="Arial"/>
          <w:iCs/>
          <w:color w:val="000000"/>
          <w:sz w:val="22"/>
          <w:szCs w:val="22"/>
        </w:rPr>
      </w:pPr>
      <w:r w:rsidRPr="00F22391">
        <w:rPr>
          <w:rFonts w:eastAsia="Arial" w:cs="Arial"/>
          <w:iCs/>
          <w:color w:val="000000"/>
          <w:sz w:val="22"/>
          <w:szCs w:val="22"/>
        </w:rPr>
        <w:t xml:space="preserve">Next, if an organization is identified as a CDO, the assessment could further refine community development needs based on the maturity of the organization (IE </w:t>
      </w:r>
      <w:proofErr w:type="gramStart"/>
      <w:r w:rsidRPr="00F22391">
        <w:rPr>
          <w:rFonts w:eastAsia="Arial" w:cs="Arial"/>
          <w:iCs/>
          <w:color w:val="000000"/>
          <w:sz w:val="22"/>
          <w:szCs w:val="22"/>
        </w:rPr>
        <w:t>a  smaller</w:t>
      </w:r>
      <w:proofErr w:type="gramEnd"/>
      <w:r w:rsidRPr="00F22391">
        <w:rPr>
          <w:rFonts w:eastAsia="Arial" w:cs="Arial"/>
          <w:iCs/>
          <w:color w:val="000000"/>
          <w:sz w:val="22"/>
          <w:szCs w:val="22"/>
        </w:rPr>
        <w:t xml:space="preserve"> or start-up CDO versus a more mature and/or complex CDO).</w:t>
      </w:r>
    </w:p>
    <w:p w:rsidR="00C645DC" w:rsidRPr="00F22391" w:rsidRDefault="00C645DC" w:rsidP="004B420B">
      <w:pPr>
        <w:ind w:left="-630" w:right="-720"/>
        <w:rPr>
          <w:rFonts w:eastAsia="Arial" w:cs="Arial"/>
          <w:iCs/>
          <w:color w:val="000000"/>
          <w:sz w:val="22"/>
          <w:szCs w:val="22"/>
        </w:rPr>
      </w:pPr>
    </w:p>
    <w:p w:rsidR="006E5A7C" w:rsidRDefault="00C645DC" w:rsidP="004B420B">
      <w:pPr>
        <w:ind w:left="-630" w:right="-720"/>
        <w:rPr>
          <w:rFonts w:eastAsia="Arial" w:cs="Arial"/>
          <w:iCs/>
          <w:color w:val="000000"/>
        </w:rPr>
      </w:pPr>
      <w:r w:rsidRPr="00F22391">
        <w:rPr>
          <w:rFonts w:eastAsia="Arial" w:cs="Arial"/>
          <w:iCs/>
          <w:color w:val="000000"/>
          <w:sz w:val="22"/>
          <w:szCs w:val="22"/>
        </w:rPr>
        <w:t>As part of the start-up of the Wilson Foundation-funded Center for Nonprofit Support (</w:t>
      </w:r>
      <w:r w:rsidRPr="00F22391">
        <w:rPr>
          <w:rFonts w:eastAsia="Arial" w:cs="Arial"/>
          <w:i/>
          <w:iCs/>
          <w:color w:val="000000"/>
          <w:sz w:val="22"/>
          <w:szCs w:val="22"/>
        </w:rPr>
        <w:t>recently re-named “</w:t>
      </w:r>
      <w:proofErr w:type="spellStart"/>
      <w:r w:rsidRPr="00F22391">
        <w:rPr>
          <w:rFonts w:eastAsia="Arial" w:cs="Arial"/>
          <w:i/>
          <w:iCs/>
          <w:color w:val="000000"/>
          <w:sz w:val="22"/>
          <w:szCs w:val="22"/>
        </w:rPr>
        <w:t>Co.act</w:t>
      </w:r>
      <w:proofErr w:type="spellEnd"/>
      <w:r w:rsidRPr="00F22391">
        <w:rPr>
          <w:rFonts w:eastAsia="Arial" w:cs="Arial"/>
          <w:i/>
          <w:iCs/>
          <w:color w:val="000000"/>
          <w:sz w:val="22"/>
          <w:szCs w:val="22"/>
        </w:rPr>
        <w:t xml:space="preserve"> Detroit”,</w:t>
      </w:r>
      <w:r w:rsidRPr="00F22391">
        <w:rPr>
          <w:rFonts w:eastAsia="Arial" w:cs="Arial"/>
          <w:iCs/>
          <w:color w:val="000000"/>
          <w:sz w:val="22"/>
          <w:szCs w:val="22"/>
        </w:rPr>
        <w:t xml:space="preserve"> the Michigan Nonprofit Association (in partnership with Michigan Community Resources and the UM Technical Assistance Center), is working on an intake and assessment function for the general nonprofit sector.  This could create excellent opportunities Center.  While MNA has</w:t>
      </w:r>
      <w:r w:rsidRPr="00E25A24">
        <w:rPr>
          <w:rFonts w:eastAsia="Arial" w:cs="Arial"/>
          <w:iCs/>
          <w:color w:val="000000"/>
        </w:rPr>
        <w:t xml:space="preserve"> </w:t>
      </w:r>
      <w:r w:rsidRPr="00F22391">
        <w:rPr>
          <w:rFonts w:eastAsia="Arial" w:cs="Arial"/>
          <w:iCs/>
          <w:color w:val="000000"/>
          <w:sz w:val="22"/>
          <w:szCs w:val="22"/>
        </w:rPr>
        <w:t>drafted an intake &amp; assessment tool for general nonprofit capacity needs, it has not yet been reviewed</w:t>
      </w:r>
      <w:r w:rsidRPr="00E25A24">
        <w:rPr>
          <w:rFonts w:eastAsia="Arial" w:cs="Arial"/>
          <w:iCs/>
          <w:color w:val="000000"/>
        </w:rPr>
        <w:t xml:space="preserve"> for</w:t>
      </w:r>
    </w:p>
    <w:p w:rsidR="00ED06DD" w:rsidRDefault="00ED06DD" w:rsidP="004B420B">
      <w:pPr>
        <w:ind w:left="-630" w:right="-720"/>
        <w:rPr>
          <w:rFonts w:eastAsia="Arial" w:cs="Arial"/>
          <w:iCs/>
          <w:color w:val="000000"/>
        </w:rPr>
      </w:pPr>
    </w:p>
    <w:p w:rsidR="00ED06DD" w:rsidRPr="00F22391" w:rsidRDefault="00ED06DD" w:rsidP="004B420B">
      <w:pPr>
        <w:ind w:left="-630" w:right="-720"/>
        <w:rPr>
          <w:rFonts w:cs="Arial"/>
          <w:color w:val="000000"/>
          <w:sz w:val="22"/>
          <w:szCs w:val="22"/>
        </w:rPr>
      </w:pPr>
      <w:r w:rsidRPr="00F22391">
        <w:rPr>
          <w:rFonts w:eastAsia="Arial" w:cs="Arial"/>
          <w:iCs/>
          <w:color w:val="000000"/>
          <w:sz w:val="22"/>
          <w:szCs w:val="22"/>
        </w:rPr>
        <w:t xml:space="preserve">relevancy to the BECDD concept of a clearinghouse.  It likely mirrors the self-assessment provided by the </w:t>
      </w:r>
      <w:hyperlink r:id="rId12" w:tgtFrame="_blank" w:history="1">
        <w:r w:rsidRPr="00F22391">
          <w:rPr>
            <w:rStyle w:val="Hyperlink"/>
            <w:rFonts w:cs="Calibri"/>
            <w:color w:val="0D0D0D"/>
            <w:sz w:val="22"/>
            <w:szCs w:val="22"/>
            <w:bdr w:val="none" w:sz="0" w:space="0" w:color="auto" w:frame="1"/>
          </w:rPr>
          <w:t>Standards</w:t>
        </w:r>
        <w:r w:rsidRPr="00F22391">
          <w:rPr>
            <w:rStyle w:val="Hyperlink"/>
            <w:rFonts w:cs="Arial"/>
            <w:color w:val="0D0D0D"/>
            <w:sz w:val="22"/>
            <w:szCs w:val="22"/>
            <w:bdr w:val="none" w:sz="0" w:space="0" w:color="auto" w:frame="1"/>
          </w:rPr>
          <w:t xml:space="preserve"> </w:t>
        </w:r>
        <w:r w:rsidRPr="00F22391">
          <w:rPr>
            <w:rStyle w:val="Hyperlink"/>
            <w:rFonts w:cs="Calibri"/>
            <w:color w:val="0D0D0D"/>
            <w:sz w:val="22"/>
            <w:szCs w:val="22"/>
            <w:bdr w:val="none" w:sz="0" w:space="0" w:color="auto" w:frame="1"/>
          </w:rPr>
          <w:t>for</w:t>
        </w:r>
        <w:r w:rsidRPr="00F22391">
          <w:rPr>
            <w:rStyle w:val="Hyperlink"/>
            <w:rFonts w:cs="Arial"/>
            <w:color w:val="0D0D0D"/>
            <w:sz w:val="22"/>
            <w:szCs w:val="22"/>
            <w:bdr w:val="none" w:sz="0" w:space="0" w:color="auto" w:frame="1"/>
          </w:rPr>
          <w:t xml:space="preserve"> </w:t>
        </w:r>
        <w:r w:rsidRPr="00F22391">
          <w:rPr>
            <w:rStyle w:val="Hyperlink"/>
            <w:rFonts w:cs="Calibri"/>
            <w:color w:val="0D0D0D"/>
            <w:sz w:val="22"/>
            <w:szCs w:val="22"/>
            <w:bdr w:val="none" w:sz="0" w:space="0" w:color="auto" w:frame="1"/>
          </w:rPr>
          <w:t>Excellence</w:t>
        </w:r>
        <w:r w:rsidRPr="00F22391">
          <w:rPr>
            <w:rStyle w:val="Hyperlink"/>
            <w:rFonts w:cs="Arial"/>
            <w:color w:val="0D0D0D"/>
            <w:sz w:val="22"/>
            <w:szCs w:val="22"/>
            <w:bdr w:val="none" w:sz="0" w:space="0" w:color="auto" w:frame="1"/>
          </w:rPr>
          <w:t xml:space="preserve"> </w:t>
        </w:r>
        <w:r w:rsidRPr="00F22391">
          <w:rPr>
            <w:rStyle w:val="Hyperlink"/>
            <w:rFonts w:cs="Calibri"/>
            <w:color w:val="0D0D0D"/>
            <w:sz w:val="22"/>
            <w:szCs w:val="22"/>
            <w:bdr w:val="none" w:sz="0" w:space="0" w:color="auto" w:frame="1"/>
          </w:rPr>
          <w:t>Institute</w:t>
        </w:r>
      </w:hyperlink>
      <w:r w:rsidRPr="00F22391">
        <w:rPr>
          <w:rStyle w:val="EndnoteReference"/>
          <w:rFonts w:cs="Arial"/>
          <w:color w:val="0D0D0D"/>
          <w:sz w:val="22"/>
          <w:szCs w:val="22"/>
        </w:rPr>
        <w:endnoteReference w:id="1"/>
      </w:r>
      <w:r w:rsidRPr="00F22391">
        <w:rPr>
          <w:rStyle w:val="Hyperlink"/>
          <w:rFonts w:cs="Calibri"/>
          <w:color w:val="0D0D0D"/>
          <w:sz w:val="22"/>
          <w:szCs w:val="22"/>
          <w:bdr w:val="none" w:sz="0" w:space="0" w:color="auto" w:frame="1"/>
        </w:rPr>
        <w:t xml:space="preserve"> which identifies “6 major areas of nonprofit governance and management which contain 27 different topic areas…with specific benchmarks and measures…”  </w:t>
      </w:r>
      <w:r w:rsidRPr="00F22391">
        <w:rPr>
          <w:rFonts w:cs="Arial"/>
          <w:color w:val="000000"/>
          <w:sz w:val="22"/>
          <w:szCs w:val="22"/>
        </w:rPr>
        <w:t>An assessment could combine the Standards of Excellence with the Performance Imperative’s Seven Pillars and cover the following topics:</w:t>
      </w:r>
    </w:p>
    <w:p w:rsidR="00ED06DD" w:rsidRPr="00F22391" w:rsidRDefault="00ED06DD" w:rsidP="004B420B">
      <w:pPr>
        <w:numPr>
          <w:ilvl w:val="0"/>
          <w:numId w:val="6"/>
        </w:numPr>
        <w:ind w:left="-630" w:right="-720"/>
        <w:contextualSpacing/>
        <w:rPr>
          <w:rFonts w:eastAsia="Arial" w:cs="Arial"/>
          <w:iCs/>
          <w:color w:val="000000"/>
          <w:sz w:val="22"/>
          <w:szCs w:val="22"/>
        </w:rPr>
      </w:pPr>
      <w:r w:rsidRPr="00F22391">
        <w:rPr>
          <w:rFonts w:eastAsia="Arial" w:cs="Arial"/>
          <w:iCs/>
          <w:color w:val="000000"/>
          <w:sz w:val="22"/>
          <w:szCs w:val="22"/>
        </w:rPr>
        <w:t>Mission, Strategy, Programs &amp; Evaluation</w:t>
      </w:r>
    </w:p>
    <w:p w:rsidR="00ED06DD" w:rsidRPr="00F22391" w:rsidRDefault="00ED06DD" w:rsidP="004B420B">
      <w:pPr>
        <w:numPr>
          <w:ilvl w:val="0"/>
          <w:numId w:val="6"/>
        </w:numPr>
        <w:ind w:left="-630" w:right="-720"/>
        <w:contextualSpacing/>
        <w:rPr>
          <w:rFonts w:eastAsia="Arial" w:cs="Arial"/>
          <w:iCs/>
          <w:color w:val="000000"/>
          <w:sz w:val="22"/>
          <w:szCs w:val="22"/>
        </w:rPr>
      </w:pPr>
      <w:r w:rsidRPr="00F22391">
        <w:rPr>
          <w:rFonts w:eastAsia="Arial" w:cs="Arial"/>
          <w:iCs/>
          <w:color w:val="000000"/>
          <w:sz w:val="22"/>
          <w:szCs w:val="22"/>
        </w:rPr>
        <w:t>Adaptive, People-Centered Leadership: Board, Staff &amp; Volunteers</w:t>
      </w:r>
    </w:p>
    <w:p w:rsidR="00ED06DD" w:rsidRPr="00F22391" w:rsidRDefault="00ED06DD" w:rsidP="004B420B">
      <w:pPr>
        <w:numPr>
          <w:ilvl w:val="0"/>
          <w:numId w:val="6"/>
        </w:numPr>
        <w:ind w:left="-630" w:right="-720"/>
        <w:contextualSpacing/>
        <w:rPr>
          <w:rFonts w:eastAsia="Arial" w:cs="Arial"/>
          <w:iCs/>
          <w:color w:val="000000"/>
          <w:sz w:val="22"/>
          <w:szCs w:val="22"/>
        </w:rPr>
      </w:pPr>
      <w:r w:rsidRPr="00F22391">
        <w:rPr>
          <w:rFonts w:eastAsia="Arial" w:cs="Arial"/>
          <w:iCs/>
          <w:color w:val="000000"/>
          <w:sz w:val="22"/>
          <w:szCs w:val="22"/>
        </w:rPr>
        <w:t>Legal Compliance &amp; Ethics</w:t>
      </w:r>
    </w:p>
    <w:p w:rsidR="00ED06DD" w:rsidRPr="00F22391" w:rsidRDefault="00ED06DD" w:rsidP="004B420B">
      <w:pPr>
        <w:numPr>
          <w:ilvl w:val="0"/>
          <w:numId w:val="6"/>
        </w:numPr>
        <w:ind w:left="-630" w:right="-720"/>
        <w:contextualSpacing/>
        <w:rPr>
          <w:rFonts w:eastAsia="Arial" w:cs="Arial"/>
          <w:iCs/>
          <w:color w:val="000000"/>
          <w:sz w:val="22"/>
          <w:szCs w:val="22"/>
        </w:rPr>
      </w:pPr>
      <w:r w:rsidRPr="00F22391">
        <w:rPr>
          <w:rFonts w:eastAsia="Arial" w:cs="Arial"/>
          <w:iCs/>
          <w:color w:val="000000"/>
          <w:sz w:val="22"/>
          <w:szCs w:val="22"/>
        </w:rPr>
        <w:t>Financial Health &amp; Operations</w:t>
      </w:r>
    </w:p>
    <w:p w:rsidR="00ED06DD" w:rsidRPr="00F22391" w:rsidRDefault="00ED06DD" w:rsidP="004B420B">
      <w:pPr>
        <w:numPr>
          <w:ilvl w:val="0"/>
          <w:numId w:val="6"/>
        </w:numPr>
        <w:ind w:left="-630" w:right="-720"/>
        <w:contextualSpacing/>
        <w:rPr>
          <w:rFonts w:eastAsia="Arial" w:cs="Arial"/>
          <w:iCs/>
          <w:color w:val="000000"/>
          <w:sz w:val="22"/>
          <w:szCs w:val="22"/>
        </w:rPr>
      </w:pPr>
      <w:r w:rsidRPr="00F22391">
        <w:rPr>
          <w:rFonts w:eastAsia="Arial" w:cs="Arial"/>
          <w:iCs/>
          <w:color w:val="000000"/>
          <w:sz w:val="22"/>
          <w:szCs w:val="22"/>
        </w:rPr>
        <w:t>Resource Development &amp; Sustainability</w:t>
      </w:r>
    </w:p>
    <w:p w:rsidR="00ED06DD" w:rsidRPr="00F22391" w:rsidRDefault="00ED06DD" w:rsidP="004B420B">
      <w:pPr>
        <w:numPr>
          <w:ilvl w:val="0"/>
          <w:numId w:val="6"/>
        </w:numPr>
        <w:ind w:left="-630" w:right="-720"/>
        <w:contextualSpacing/>
        <w:rPr>
          <w:rFonts w:eastAsia="Arial" w:cs="Arial"/>
          <w:iCs/>
          <w:color w:val="000000"/>
          <w:sz w:val="22"/>
          <w:szCs w:val="22"/>
        </w:rPr>
      </w:pPr>
      <w:r w:rsidRPr="00F22391">
        <w:rPr>
          <w:rFonts w:eastAsia="Arial" w:cs="Arial"/>
          <w:iCs/>
          <w:color w:val="000000"/>
          <w:sz w:val="22"/>
          <w:szCs w:val="22"/>
        </w:rPr>
        <w:t>Public Awareness, Engagement &amp; Advocacy</w:t>
      </w:r>
    </w:p>
    <w:p w:rsidR="00ED06DD" w:rsidRPr="00F22391" w:rsidRDefault="00ED06DD" w:rsidP="004B420B">
      <w:pPr>
        <w:ind w:left="-630" w:right="-720"/>
        <w:rPr>
          <w:rFonts w:cs="Arial"/>
          <w:color w:val="000000"/>
          <w:sz w:val="22"/>
          <w:szCs w:val="22"/>
        </w:rPr>
      </w:pPr>
    </w:p>
    <w:p w:rsidR="00ED06DD" w:rsidRPr="00F22391" w:rsidRDefault="00ED06DD" w:rsidP="004B420B">
      <w:pPr>
        <w:widowControl w:val="0"/>
        <w:autoSpaceDE w:val="0"/>
        <w:autoSpaceDN w:val="0"/>
        <w:adjustRightInd w:val="0"/>
        <w:ind w:left="-630" w:right="-720"/>
        <w:rPr>
          <w:rFonts w:cs="Calibri"/>
          <w:color w:val="000000"/>
          <w:sz w:val="22"/>
          <w:szCs w:val="22"/>
        </w:rPr>
      </w:pPr>
      <w:r w:rsidRPr="00F22391">
        <w:rPr>
          <w:rFonts w:cs="Arial"/>
          <w:color w:val="000000"/>
          <w:sz w:val="22"/>
          <w:szCs w:val="22"/>
        </w:rPr>
        <w:t xml:space="preserve">Assessment components specific to community development could combine concepts from the BECDD definition of Community Development Organizations, </w:t>
      </w:r>
      <w:proofErr w:type="spellStart"/>
      <w:r w:rsidRPr="00F22391">
        <w:rPr>
          <w:rFonts w:cs="Calibri"/>
          <w:bCs/>
          <w:color w:val="000000"/>
          <w:sz w:val="22"/>
          <w:szCs w:val="22"/>
        </w:rPr>
        <w:t>NeighborWorks</w:t>
      </w:r>
      <w:proofErr w:type="spellEnd"/>
      <w:r w:rsidRPr="00F22391">
        <w:rPr>
          <w:rFonts w:cs="Calibri"/>
          <w:bCs/>
          <w:color w:val="000000"/>
          <w:sz w:val="22"/>
          <w:szCs w:val="22"/>
        </w:rPr>
        <w:t xml:space="preserve">® </w:t>
      </w:r>
      <w:r w:rsidRPr="00F22391">
        <w:rPr>
          <w:rFonts w:cs="Calibri"/>
          <w:color w:val="000000"/>
          <w:sz w:val="22"/>
          <w:szCs w:val="22"/>
        </w:rPr>
        <w:t xml:space="preserve">PROMPT® OAS Assessment Process, Success Measures </w:t>
      </w:r>
      <w:r w:rsidRPr="00F22391">
        <w:rPr>
          <w:rFonts w:cs="Arial"/>
          <w:bCs/>
          <w:color w:val="000000"/>
          <w:sz w:val="22"/>
          <w:szCs w:val="22"/>
        </w:rPr>
        <w:t xml:space="preserve">Community and </w:t>
      </w:r>
      <w:r w:rsidRPr="00F22391">
        <w:rPr>
          <w:rFonts w:eastAsia="Times New Roman"/>
          <w:color w:val="3B342F"/>
          <w:sz w:val="22"/>
          <w:szCs w:val="22"/>
          <w:shd w:val="clear" w:color="auto" w:fill="FFFFFF"/>
        </w:rPr>
        <w:t xml:space="preserve">Resident Engagement Measurement Tools. </w:t>
      </w:r>
      <w:r w:rsidRPr="00F22391">
        <w:rPr>
          <w:rStyle w:val="EndnoteReference"/>
          <w:rFonts w:cs="Arial"/>
          <w:b/>
          <w:bCs/>
          <w:color w:val="000000"/>
          <w:sz w:val="22"/>
          <w:szCs w:val="22"/>
        </w:rPr>
        <w:endnoteReference w:id="2"/>
      </w:r>
      <w:r w:rsidRPr="00F22391">
        <w:rPr>
          <w:rFonts w:cs="Calibri"/>
          <w:color w:val="000000"/>
          <w:sz w:val="22"/>
          <w:szCs w:val="22"/>
        </w:rPr>
        <w:t xml:space="preserve">, and LISC’s </w:t>
      </w:r>
      <w:proofErr w:type="spellStart"/>
      <w:r w:rsidRPr="00F22391">
        <w:rPr>
          <w:rFonts w:cs="Calibri"/>
          <w:color w:val="000000"/>
          <w:sz w:val="22"/>
          <w:szCs w:val="22"/>
        </w:rPr>
        <w:t>CapMap</w:t>
      </w:r>
      <w:proofErr w:type="spellEnd"/>
      <w:r w:rsidRPr="00F22391">
        <w:rPr>
          <w:rFonts w:cs="Calibri"/>
          <w:color w:val="000000"/>
          <w:sz w:val="22"/>
          <w:szCs w:val="22"/>
        </w:rPr>
        <w:t xml:space="preserve"> to include:</w:t>
      </w:r>
    </w:p>
    <w:p w:rsidR="00ED06DD" w:rsidRPr="00F22391" w:rsidRDefault="00ED06DD" w:rsidP="004B420B">
      <w:pPr>
        <w:ind w:left="-630" w:right="-720"/>
        <w:rPr>
          <w:rFonts w:cs="Arial"/>
          <w:color w:val="000000"/>
          <w:sz w:val="22"/>
          <w:szCs w:val="22"/>
        </w:rPr>
      </w:pPr>
    </w:p>
    <w:p w:rsidR="00ED06DD" w:rsidRPr="00F22391" w:rsidRDefault="00ED06DD" w:rsidP="004B420B">
      <w:pPr>
        <w:numPr>
          <w:ilvl w:val="0"/>
          <w:numId w:val="7"/>
        </w:numPr>
        <w:ind w:left="-630" w:right="-720"/>
        <w:contextualSpacing/>
        <w:rPr>
          <w:rFonts w:cs="Arial"/>
          <w:color w:val="000000"/>
          <w:sz w:val="22"/>
          <w:szCs w:val="22"/>
        </w:rPr>
      </w:pPr>
      <w:r w:rsidRPr="00F22391">
        <w:rPr>
          <w:rFonts w:cs="Arial"/>
          <w:color w:val="000000"/>
          <w:sz w:val="22"/>
          <w:szCs w:val="22"/>
        </w:rPr>
        <w:t>Community/Resident Engagement</w:t>
      </w:r>
    </w:p>
    <w:p w:rsidR="00ED06DD" w:rsidRPr="00F22391" w:rsidRDefault="00ED06DD" w:rsidP="004B420B">
      <w:pPr>
        <w:numPr>
          <w:ilvl w:val="0"/>
          <w:numId w:val="7"/>
        </w:numPr>
        <w:ind w:left="-630" w:right="-720"/>
        <w:contextualSpacing/>
        <w:rPr>
          <w:rFonts w:cs="Arial"/>
          <w:color w:val="000000"/>
          <w:sz w:val="22"/>
          <w:szCs w:val="22"/>
        </w:rPr>
      </w:pPr>
      <w:r w:rsidRPr="00F22391">
        <w:rPr>
          <w:rFonts w:cs="Arial"/>
          <w:color w:val="000000"/>
          <w:sz w:val="22"/>
          <w:szCs w:val="22"/>
        </w:rPr>
        <w:t>Convening &amp; Facilitating</w:t>
      </w:r>
    </w:p>
    <w:p w:rsidR="00ED06DD" w:rsidRPr="00F22391" w:rsidRDefault="00ED06DD" w:rsidP="004B420B">
      <w:pPr>
        <w:numPr>
          <w:ilvl w:val="0"/>
          <w:numId w:val="7"/>
        </w:numPr>
        <w:ind w:left="-630" w:right="-720"/>
        <w:contextualSpacing/>
        <w:rPr>
          <w:rFonts w:cs="Arial"/>
          <w:color w:val="000000"/>
          <w:sz w:val="22"/>
          <w:szCs w:val="22"/>
        </w:rPr>
      </w:pPr>
      <w:r w:rsidRPr="00F22391">
        <w:rPr>
          <w:rFonts w:cs="Arial"/>
          <w:color w:val="000000"/>
          <w:sz w:val="22"/>
          <w:szCs w:val="22"/>
        </w:rPr>
        <w:t>Neighborhood Planning</w:t>
      </w:r>
    </w:p>
    <w:p w:rsidR="00ED06DD" w:rsidRPr="00F22391" w:rsidRDefault="00ED06DD" w:rsidP="004B420B">
      <w:pPr>
        <w:numPr>
          <w:ilvl w:val="0"/>
          <w:numId w:val="7"/>
        </w:numPr>
        <w:ind w:left="-630" w:right="-720"/>
        <w:contextualSpacing/>
        <w:rPr>
          <w:rFonts w:cs="Arial"/>
          <w:color w:val="000000"/>
          <w:sz w:val="22"/>
          <w:szCs w:val="22"/>
        </w:rPr>
      </w:pPr>
      <w:r w:rsidRPr="00F22391">
        <w:rPr>
          <w:rFonts w:cs="Arial"/>
          <w:color w:val="000000"/>
          <w:sz w:val="22"/>
          <w:szCs w:val="22"/>
        </w:rPr>
        <w:t>Economic Development including real estate development, compliance &amp; risk assessment, and</w:t>
      </w:r>
    </w:p>
    <w:p w:rsidR="00ED06DD" w:rsidRPr="00F22391" w:rsidRDefault="00ED06DD" w:rsidP="004B420B">
      <w:pPr>
        <w:numPr>
          <w:ilvl w:val="0"/>
          <w:numId w:val="7"/>
        </w:numPr>
        <w:ind w:left="-630" w:right="-720"/>
        <w:contextualSpacing/>
        <w:rPr>
          <w:rFonts w:cs="Arial"/>
          <w:color w:val="000000"/>
          <w:sz w:val="22"/>
          <w:szCs w:val="22"/>
        </w:rPr>
      </w:pPr>
      <w:r w:rsidRPr="00F22391">
        <w:rPr>
          <w:rFonts w:cs="Arial"/>
          <w:color w:val="000000"/>
          <w:sz w:val="22"/>
          <w:szCs w:val="22"/>
        </w:rPr>
        <w:t>Resident Support</w:t>
      </w:r>
    </w:p>
    <w:p w:rsidR="00ED06DD" w:rsidRPr="00F22391" w:rsidRDefault="00ED06DD" w:rsidP="004B420B">
      <w:pPr>
        <w:ind w:left="-630" w:right="-720"/>
        <w:rPr>
          <w:rFonts w:eastAsia="Arial" w:cs="Arial"/>
          <w:b/>
          <w:iCs/>
          <w:color w:val="000000"/>
          <w:sz w:val="22"/>
          <w:szCs w:val="22"/>
        </w:rPr>
      </w:pPr>
    </w:p>
    <w:p w:rsidR="00ED06DD" w:rsidRPr="00F22391" w:rsidRDefault="00ED06DD" w:rsidP="004B420B">
      <w:pPr>
        <w:ind w:left="-630" w:right="-720"/>
        <w:rPr>
          <w:rFonts w:eastAsia="Arial" w:cs="Arial"/>
          <w:iCs/>
          <w:color w:val="000000"/>
          <w:sz w:val="22"/>
          <w:szCs w:val="22"/>
        </w:rPr>
      </w:pPr>
      <w:r w:rsidRPr="00F22391">
        <w:rPr>
          <w:rFonts w:eastAsia="Arial" w:cs="Arial"/>
          <w:iCs/>
          <w:color w:val="000000"/>
          <w:sz w:val="22"/>
          <w:szCs w:val="22"/>
        </w:rPr>
        <w:t>For example, within the above categories for assessment, a very recent analysis by BECDD of more immediate CDO capacity needs included three items within the “general nonprofit: category: a) data management, b) comprehensive resource development c) organizational strategic planning; and one item specific to community development: Single Family Housing strategies.</w:t>
      </w:r>
    </w:p>
    <w:p w:rsidR="00ED06DD" w:rsidRPr="00E25A24" w:rsidRDefault="00ED06DD" w:rsidP="004B420B">
      <w:pPr>
        <w:ind w:left="-630" w:right="-720"/>
        <w:rPr>
          <w:rFonts w:eastAsia="Arial" w:cs="Arial"/>
          <w:iCs/>
          <w:color w:val="000000"/>
        </w:rPr>
      </w:pPr>
    </w:p>
    <w:p w:rsidR="00ED06DD" w:rsidRPr="00E25A24" w:rsidRDefault="00ED06DD" w:rsidP="004B420B">
      <w:pPr>
        <w:ind w:left="-630" w:right="-720"/>
        <w:rPr>
          <w:rFonts w:eastAsia="Arial" w:cs="Arial"/>
          <w:b/>
          <w:iCs/>
          <w:color w:val="000000"/>
        </w:rPr>
      </w:pPr>
      <w:r w:rsidRPr="00E25A24">
        <w:rPr>
          <w:rFonts w:eastAsia="Arial" w:cs="Arial"/>
          <w:b/>
          <w:iCs/>
          <w:color w:val="000000"/>
        </w:rPr>
        <w:t>Referral</w:t>
      </w:r>
    </w:p>
    <w:p w:rsidR="00ED06DD" w:rsidRPr="00F22391" w:rsidRDefault="00ED06DD" w:rsidP="004B420B">
      <w:pPr>
        <w:ind w:left="-630" w:right="-720"/>
        <w:rPr>
          <w:rFonts w:eastAsia="Arial" w:cs="Arial"/>
          <w:iCs/>
          <w:color w:val="000000"/>
          <w:sz w:val="22"/>
          <w:szCs w:val="22"/>
        </w:rPr>
      </w:pPr>
      <w:r w:rsidRPr="00F22391">
        <w:rPr>
          <w:rFonts w:eastAsia="Arial" w:cs="Arial"/>
          <w:iCs/>
          <w:color w:val="000000"/>
          <w:sz w:val="22"/>
          <w:szCs w:val="22"/>
        </w:rPr>
        <w:t xml:space="preserve">Once the application and/or assessment process is completed, the CCDCBS staff would work with the client organization to prioritize its capacity building needs and timeline and then connect them with appropriate Technical Assistance (TA) provider(s).  </w:t>
      </w:r>
    </w:p>
    <w:p w:rsidR="00ED06DD" w:rsidRPr="00F22391" w:rsidRDefault="00ED06DD" w:rsidP="004B420B">
      <w:pPr>
        <w:ind w:left="-630" w:right="-720"/>
        <w:rPr>
          <w:rFonts w:eastAsia="Arial" w:cs="Arial"/>
          <w:iCs/>
          <w:color w:val="000000"/>
          <w:sz w:val="22"/>
          <w:szCs w:val="22"/>
        </w:rPr>
      </w:pPr>
    </w:p>
    <w:p w:rsidR="00ED06DD" w:rsidRPr="00F22391" w:rsidRDefault="00ED06DD" w:rsidP="004B420B">
      <w:pPr>
        <w:ind w:left="-630" w:right="-720"/>
        <w:rPr>
          <w:rFonts w:eastAsia="Arial" w:cs="Arial"/>
          <w:iCs/>
          <w:color w:val="000000"/>
          <w:sz w:val="22"/>
          <w:szCs w:val="22"/>
        </w:rPr>
      </w:pPr>
      <w:r w:rsidRPr="00F22391">
        <w:rPr>
          <w:rFonts w:eastAsia="Arial" w:cs="Arial"/>
          <w:iCs/>
          <w:color w:val="000000"/>
          <w:sz w:val="22"/>
          <w:szCs w:val="22"/>
        </w:rPr>
        <w:t>Based on recent assessment of CDO-articulated capacity needs, and within the “assessment” categories listed in the previous section, the emphasis for services would be on one-to-one (high-touch) service provision.  When the training needed is more universal or the frequency of its request is often enough, the clearinghouse may work with its partners to deliver classroom-style training.   This may be especially important for Grass Roots Organizations, many of which are requesting board training, conflict resolution, and training on how to deal with for-profit developers coming into their neighborhoods.</w:t>
      </w:r>
    </w:p>
    <w:p w:rsidR="00ED06DD" w:rsidRPr="00F22391" w:rsidRDefault="00ED06DD" w:rsidP="004B420B">
      <w:pPr>
        <w:ind w:left="-630" w:right="-720"/>
        <w:rPr>
          <w:rFonts w:eastAsia="Arial" w:cs="Arial"/>
          <w:iCs/>
          <w:color w:val="000000"/>
          <w:sz w:val="22"/>
          <w:szCs w:val="22"/>
        </w:rPr>
      </w:pPr>
    </w:p>
    <w:p w:rsidR="00ED06DD" w:rsidRPr="00F22391" w:rsidRDefault="00ED06DD" w:rsidP="004B420B">
      <w:pPr>
        <w:ind w:left="-630" w:right="-720"/>
        <w:rPr>
          <w:rFonts w:eastAsia="Arial" w:cs="Arial"/>
          <w:iCs/>
          <w:color w:val="000000"/>
          <w:sz w:val="22"/>
          <w:szCs w:val="22"/>
        </w:rPr>
      </w:pPr>
      <w:r w:rsidRPr="00F22391">
        <w:rPr>
          <w:rFonts w:eastAsia="Arial" w:cs="Arial"/>
          <w:iCs/>
          <w:color w:val="000000"/>
          <w:sz w:val="22"/>
          <w:szCs w:val="22"/>
        </w:rPr>
        <w:t xml:space="preserve">The referral system can connect client organizations with: </w:t>
      </w:r>
    </w:p>
    <w:p w:rsidR="00ED06DD" w:rsidRPr="00F22391" w:rsidRDefault="00ED06DD" w:rsidP="004B420B">
      <w:pPr>
        <w:numPr>
          <w:ilvl w:val="0"/>
          <w:numId w:val="8"/>
        </w:numPr>
        <w:ind w:left="-630" w:right="-720"/>
        <w:rPr>
          <w:rFonts w:eastAsia="Arial" w:cs="Arial"/>
          <w:iCs/>
          <w:color w:val="000000"/>
          <w:sz w:val="22"/>
          <w:szCs w:val="22"/>
        </w:rPr>
      </w:pPr>
      <w:r w:rsidRPr="00F22391">
        <w:rPr>
          <w:rFonts w:eastAsia="Arial" w:cs="Arial"/>
          <w:iCs/>
          <w:color w:val="000000"/>
          <w:sz w:val="22"/>
          <w:szCs w:val="22"/>
        </w:rPr>
        <w:t xml:space="preserve">Intermediary/support organizations (not-for-profit or low-profit) that can provide technical assistance such as data management; </w:t>
      </w:r>
    </w:p>
    <w:p w:rsidR="00ED06DD" w:rsidRPr="00F22391" w:rsidRDefault="00ED06DD" w:rsidP="004B420B">
      <w:pPr>
        <w:numPr>
          <w:ilvl w:val="0"/>
          <w:numId w:val="8"/>
        </w:numPr>
        <w:ind w:left="-630" w:right="-720"/>
        <w:rPr>
          <w:rFonts w:eastAsia="Arial" w:cs="Arial"/>
          <w:iCs/>
          <w:color w:val="000000"/>
          <w:sz w:val="22"/>
          <w:szCs w:val="22"/>
        </w:rPr>
      </w:pPr>
      <w:r w:rsidRPr="00F22391">
        <w:rPr>
          <w:rFonts w:eastAsia="Arial" w:cs="Arial"/>
          <w:iCs/>
          <w:color w:val="000000"/>
          <w:sz w:val="22"/>
          <w:szCs w:val="22"/>
        </w:rPr>
        <w:t xml:space="preserve">For-profit consultants who provide services such as strategic planning, fund development evaluation; as well as </w:t>
      </w:r>
    </w:p>
    <w:p w:rsidR="00ED06DD" w:rsidRPr="005737EF" w:rsidRDefault="005737EF" w:rsidP="004B420B">
      <w:pPr>
        <w:ind w:left="-630" w:right="-720"/>
        <w:rPr>
          <w:rFonts w:eastAsia="Arial" w:cs="Arial"/>
          <w:iCs/>
          <w:color w:val="000000"/>
        </w:rPr>
      </w:pPr>
      <w:r>
        <w:rPr>
          <w:rFonts w:eastAsia="Arial" w:cs="Arial"/>
          <w:iCs/>
          <w:color w:val="000000"/>
          <w:sz w:val="22"/>
          <w:szCs w:val="22"/>
        </w:rPr>
        <w:t>t</w:t>
      </w:r>
      <w:r w:rsidR="00ED06DD" w:rsidRPr="00F22391">
        <w:rPr>
          <w:rFonts w:eastAsia="Arial" w:cs="Arial"/>
          <w:iCs/>
          <w:color w:val="000000"/>
          <w:sz w:val="22"/>
          <w:szCs w:val="22"/>
        </w:rPr>
        <w:t xml:space="preserve">echnical </w:t>
      </w:r>
      <w:proofErr w:type="gramStart"/>
      <w:r w:rsidR="00ED06DD" w:rsidRPr="00F22391">
        <w:rPr>
          <w:rFonts w:eastAsia="Arial" w:cs="Arial"/>
          <w:iCs/>
          <w:color w:val="000000"/>
          <w:sz w:val="22"/>
          <w:szCs w:val="22"/>
        </w:rPr>
        <w:t>professionals  who</w:t>
      </w:r>
      <w:proofErr w:type="gramEnd"/>
      <w:r w:rsidR="00ED06DD" w:rsidRPr="00F22391">
        <w:rPr>
          <w:rFonts w:eastAsia="Arial" w:cs="Arial"/>
          <w:iCs/>
          <w:color w:val="000000"/>
          <w:sz w:val="22"/>
          <w:szCs w:val="22"/>
        </w:rPr>
        <w:t xml:space="preserve"> could provide pro-bono technical services (such as legal, accounting, communication, planning, design, engineering, environmental technicians,</w:t>
      </w:r>
      <w:r w:rsidR="00ED06DD" w:rsidRPr="00F22391">
        <w:rPr>
          <w:rFonts w:eastAsia="Arial" w:cs="Arial"/>
          <w:iCs/>
          <w:color w:val="000000"/>
          <w:sz w:val="28"/>
        </w:rPr>
        <w:t xml:space="preserve"> </w:t>
      </w:r>
      <w:r w:rsidR="00ED06DD" w:rsidRPr="00E25A24">
        <w:rPr>
          <w:rFonts w:eastAsia="Arial" w:cs="Arial"/>
          <w:iCs/>
          <w:color w:val="000000"/>
        </w:rPr>
        <w:t>real</w:t>
      </w:r>
      <w:r>
        <w:rPr>
          <w:rFonts w:eastAsia="Arial" w:cs="Arial"/>
          <w:iCs/>
          <w:color w:val="000000"/>
        </w:rPr>
        <w:t xml:space="preserve"> </w:t>
      </w:r>
      <w:r w:rsidR="00ED06DD" w:rsidRPr="00F22391">
        <w:rPr>
          <w:rFonts w:eastAsia="Arial" w:cs="Arial"/>
          <w:iCs/>
          <w:color w:val="000000"/>
          <w:sz w:val="22"/>
          <w:szCs w:val="22"/>
        </w:rPr>
        <w:t xml:space="preserve">estate development, etc.). There are models in both Detroit (MCR) and Philadelphia (PCDC) that use this approach. </w:t>
      </w:r>
    </w:p>
    <w:p w:rsidR="00ED06DD" w:rsidRPr="00F22391" w:rsidRDefault="00ED06DD" w:rsidP="004B420B">
      <w:pPr>
        <w:ind w:left="-630" w:right="-720"/>
        <w:rPr>
          <w:rFonts w:eastAsia="Arial" w:cs="Arial"/>
          <w:b/>
          <w:iCs/>
          <w:color w:val="000000"/>
          <w:sz w:val="22"/>
          <w:szCs w:val="22"/>
        </w:rPr>
      </w:pPr>
    </w:p>
    <w:p w:rsidR="00ED06DD" w:rsidRPr="00F22391" w:rsidRDefault="00ED06DD" w:rsidP="004B420B">
      <w:pPr>
        <w:ind w:left="-630" w:right="-720"/>
        <w:rPr>
          <w:rFonts w:eastAsia="Arial" w:cs="Arial"/>
          <w:iCs/>
          <w:color w:val="000000"/>
          <w:sz w:val="22"/>
          <w:szCs w:val="22"/>
        </w:rPr>
      </w:pPr>
      <w:r w:rsidRPr="00F22391">
        <w:rPr>
          <w:rFonts w:eastAsia="Arial" w:cs="Arial"/>
          <w:iCs/>
          <w:color w:val="000000"/>
          <w:sz w:val="22"/>
          <w:szCs w:val="22"/>
        </w:rPr>
        <w:t>The process to qualify and monitor the technical service providers is discussed in the Monitoring section.  The type of service is explained further in the Service Delivery section.</w:t>
      </w:r>
    </w:p>
    <w:p w:rsidR="00ED06DD" w:rsidRPr="00F22391" w:rsidRDefault="00ED06DD" w:rsidP="004B420B">
      <w:pPr>
        <w:ind w:left="-630" w:right="-720"/>
        <w:rPr>
          <w:rFonts w:eastAsia="Arial" w:cs="Arial"/>
          <w:b/>
          <w:iCs/>
          <w:color w:val="000000"/>
          <w:sz w:val="22"/>
          <w:szCs w:val="22"/>
        </w:rPr>
      </w:pPr>
      <w:r w:rsidRPr="00F22391">
        <w:rPr>
          <w:rFonts w:eastAsia="Arial" w:cs="Arial"/>
          <w:b/>
          <w:iCs/>
          <w:color w:val="000000"/>
          <w:sz w:val="22"/>
          <w:szCs w:val="22"/>
        </w:rPr>
        <w:tab/>
      </w:r>
      <w:r w:rsidRPr="00F22391">
        <w:rPr>
          <w:rFonts w:eastAsia="Arial" w:cs="Arial"/>
          <w:b/>
          <w:iCs/>
          <w:color w:val="000000"/>
          <w:sz w:val="22"/>
          <w:szCs w:val="22"/>
        </w:rPr>
        <w:tab/>
      </w:r>
      <w:r w:rsidRPr="00F22391">
        <w:rPr>
          <w:rFonts w:eastAsia="Arial" w:cs="Arial"/>
          <w:b/>
          <w:iCs/>
          <w:color w:val="000000"/>
          <w:sz w:val="22"/>
          <w:szCs w:val="22"/>
        </w:rPr>
        <w:tab/>
      </w:r>
      <w:r w:rsidRPr="00F22391">
        <w:rPr>
          <w:rFonts w:eastAsia="Arial" w:cs="Arial"/>
          <w:b/>
          <w:iCs/>
          <w:color w:val="000000"/>
          <w:sz w:val="22"/>
          <w:szCs w:val="22"/>
        </w:rPr>
        <w:tab/>
      </w:r>
      <w:r w:rsidRPr="00F22391">
        <w:rPr>
          <w:rFonts w:eastAsia="Arial" w:cs="Arial"/>
          <w:b/>
          <w:iCs/>
          <w:color w:val="000000"/>
          <w:sz w:val="22"/>
          <w:szCs w:val="22"/>
        </w:rPr>
        <w:tab/>
      </w:r>
      <w:r w:rsidRPr="00F22391">
        <w:rPr>
          <w:rFonts w:eastAsia="Arial" w:cs="Arial"/>
          <w:b/>
          <w:iCs/>
          <w:color w:val="000000"/>
          <w:sz w:val="22"/>
          <w:szCs w:val="22"/>
        </w:rPr>
        <w:tab/>
      </w:r>
      <w:r w:rsidRPr="00F22391">
        <w:rPr>
          <w:rFonts w:eastAsia="Arial" w:cs="Arial"/>
          <w:b/>
          <w:iCs/>
          <w:color w:val="000000"/>
          <w:sz w:val="22"/>
          <w:szCs w:val="22"/>
        </w:rPr>
        <w:tab/>
      </w:r>
    </w:p>
    <w:p w:rsidR="00ED06DD" w:rsidRPr="00E25A24" w:rsidRDefault="00ED06DD" w:rsidP="004B420B">
      <w:pPr>
        <w:ind w:left="-630" w:right="-720"/>
        <w:rPr>
          <w:rFonts w:eastAsia="Arial" w:cs="Arial"/>
          <w:b/>
          <w:iCs/>
          <w:color w:val="000000"/>
        </w:rPr>
      </w:pPr>
      <w:r w:rsidRPr="00E25A24">
        <w:rPr>
          <w:rFonts w:eastAsia="Arial" w:cs="Arial"/>
          <w:b/>
          <w:iCs/>
          <w:color w:val="000000"/>
        </w:rPr>
        <w:t>Service Delivery</w:t>
      </w:r>
    </w:p>
    <w:p w:rsidR="00ED06DD" w:rsidRPr="004B420B" w:rsidRDefault="00ED06DD" w:rsidP="004B420B">
      <w:pPr>
        <w:ind w:left="-630" w:right="-720"/>
        <w:rPr>
          <w:rFonts w:eastAsia="Arial" w:cs="Arial"/>
          <w:iCs/>
          <w:color w:val="000000"/>
          <w:sz w:val="22"/>
          <w:szCs w:val="22"/>
        </w:rPr>
      </w:pPr>
      <w:r w:rsidRPr="00F22391">
        <w:rPr>
          <w:rFonts w:eastAsia="Arial" w:cs="Arial"/>
          <w:iCs/>
          <w:color w:val="000000"/>
          <w:sz w:val="22"/>
          <w:szCs w:val="22"/>
        </w:rPr>
        <w:t>The Assessment process would help to differentiate the service needs of different organizations, in part based on their type and scale (i.e. GRO or CDO: small CDO, mid-sized CDO, complex or mature CDO).  Typically, budget and staff size are used as a proxy for the size and complexity of a CDO.  The CCDCBS could use additional criteria for identifying what services a CDO could quality for, including a) the presence of a real estate portfolio or property assets, b) number of distinct services offered, and c) tenure of the organization or its executive leadership.</w:t>
      </w:r>
      <w:r w:rsidRPr="00F22391">
        <w:rPr>
          <w:rFonts w:eastAsia="Arial" w:cs="Arial"/>
          <w:b/>
          <w:iCs/>
          <w:color w:val="000000"/>
          <w:sz w:val="22"/>
          <w:szCs w:val="22"/>
        </w:rPr>
        <w:tab/>
      </w:r>
      <w:r w:rsidRPr="00F22391">
        <w:rPr>
          <w:rFonts w:eastAsia="Arial" w:cs="Arial"/>
          <w:b/>
          <w:iCs/>
          <w:color w:val="000000"/>
          <w:sz w:val="22"/>
          <w:szCs w:val="22"/>
        </w:rPr>
        <w:tab/>
      </w:r>
      <w:r w:rsidRPr="00F22391">
        <w:rPr>
          <w:rFonts w:eastAsia="Arial" w:cs="Arial"/>
          <w:b/>
          <w:iCs/>
          <w:color w:val="000000"/>
          <w:sz w:val="22"/>
          <w:szCs w:val="22"/>
        </w:rPr>
        <w:tab/>
      </w:r>
      <w:r w:rsidRPr="00F22391">
        <w:rPr>
          <w:rFonts w:eastAsia="Arial" w:cs="Arial"/>
          <w:b/>
          <w:iCs/>
          <w:color w:val="000000"/>
          <w:sz w:val="22"/>
          <w:szCs w:val="22"/>
        </w:rPr>
        <w:tab/>
      </w:r>
    </w:p>
    <w:p w:rsidR="00ED06DD" w:rsidRPr="00F22391" w:rsidRDefault="00ED06DD" w:rsidP="004B420B">
      <w:pPr>
        <w:ind w:left="-630" w:right="-720"/>
        <w:rPr>
          <w:rFonts w:eastAsia="Arial" w:cs="Arial"/>
          <w:iCs/>
          <w:color w:val="000000"/>
          <w:sz w:val="22"/>
          <w:szCs w:val="22"/>
        </w:rPr>
      </w:pPr>
      <w:r w:rsidRPr="00F22391">
        <w:rPr>
          <w:rFonts w:eastAsia="Arial" w:cs="Arial"/>
          <w:iCs/>
          <w:color w:val="000000"/>
          <w:sz w:val="22"/>
          <w:szCs w:val="22"/>
        </w:rPr>
        <w:lastRenderedPageBreak/>
        <w:t xml:space="preserve">In addition to the type of service needed, the method of delivering the surface has also surfaced through the BECDD process as an important component of </w:t>
      </w:r>
      <w:proofErr w:type="gramStart"/>
      <w:r w:rsidRPr="00F22391">
        <w:rPr>
          <w:rFonts w:eastAsia="Arial" w:cs="Arial"/>
          <w:iCs/>
          <w:color w:val="000000"/>
          <w:sz w:val="22"/>
          <w:szCs w:val="22"/>
        </w:rPr>
        <w:t>the this</w:t>
      </w:r>
      <w:proofErr w:type="gramEnd"/>
      <w:r w:rsidRPr="00F22391">
        <w:rPr>
          <w:rFonts w:eastAsia="Arial" w:cs="Arial"/>
          <w:iCs/>
          <w:color w:val="000000"/>
          <w:sz w:val="22"/>
          <w:szCs w:val="22"/>
        </w:rPr>
        <w:t xml:space="preserve"> concept. Delivery method was viewed as an indication of the quality of the service. </w:t>
      </w:r>
    </w:p>
    <w:p w:rsidR="00ED06DD" w:rsidRPr="00F22391" w:rsidRDefault="00ED06DD" w:rsidP="004B420B">
      <w:pPr>
        <w:ind w:left="-630" w:right="-720"/>
        <w:rPr>
          <w:rFonts w:eastAsia="Arial" w:cs="Arial"/>
          <w:iCs/>
          <w:color w:val="000000"/>
          <w:sz w:val="22"/>
          <w:szCs w:val="22"/>
        </w:rPr>
      </w:pPr>
    </w:p>
    <w:p w:rsidR="00ED06DD" w:rsidRPr="00F22391" w:rsidRDefault="00ED06DD" w:rsidP="004B420B">
      <w:pPr>
        <w:ind w:left="-630" w:right="-720"/>
        <w:rPr>
          <w:rFonts w:eastAsia="Arial" w:cs="Arial"/>
          <w:i/>
          <w:iCs/>
          <w:color w:val="000000"/>
          <w:sz w:val="22"/>
          <w:szCs w:val="22"/>
        </w:rPr>
      </w:pPr>
      <w:r w:rsidRPr="00F22391">
        <w:rPr>
          <w:rFonts w:eastAsia="Arial" w:cs="Arial"/>
          <w:i/>
          <w:iCs/>
          <w:color w:val="000000"/>
          <w:sz w:val="22"/>
          <w:szCs w:val="22"/>
        </w:rPr>
        <w:t xml:space="preserve">Classroom Training </w:t>
      </w:r>
    </w:p>
    <w:p w:rsidR="00ED06DD" w:rsidRPr="00F22391" w:rsidRDefault="00ED06DD" w:rsidP="004B420B">
      <w:pPr>
        <w:ind w:left="-630" w:right="-720"/>
        <w:rPr>
          <w:rFonts w:eastAsia="Arial" w:cs="Arial"/>
          <w:iCs/>
          <w:color w:val="000000"/>
          <w:sz w:val="22"/>
          <w:szCs w:val="22"/>
        </w:rPr>
      </w:pPr>
      <w:r w:rsidRPr="00F22391">
        <w:rPr>
          <w:rFonts w:eastAsia="Arial" w:cs="Arial"/>
          <w:iCs/>
          <w:color w:val="000000"/>
          <w:sz w:val="22"/>
          <w:szCs w:val="22"/>
        </w:rPr>
        <w:t xml:space="preserve">Training is seen as helpful by GROs, specifically for board development, dealing with developers and managing board conflict.  CDOs tended to view classroom training as a helpful first step but wanted follow-up high-touch coaching to help the CDO practitioner apply the classroom learnings, especially in the area of real estate development. </w:t>
      </w:r>
    </w:p>
    <w:p w:rsidR="00ED06DD" w:rsidRPr="00F22391" w:rsidRDefault="00ED06DD" w:rsidP="004B420B">
      <w:pPr>
        <w:ind w:left="-630" w:right="-720"/>
        <w:rPr>
          <w:rFonts w:eastAsia="Arial" w:cs="Arial"/>
          <w:iCs/>
          <w:color w:val="000000"/>
          <w:sz w:val="22"/>
          <w:szCs w:val="22"/>
        </w:rPr>
      </w:pPr>
    </w:p>
    <w:p w:rsidR="00ED06DD" w:rsidRPr="00F22391" w:rsidRDefault="00ED06DD" w:rsidP="004B420B">
      <w:pPr>
        <w:ind w:left="-630" w:right="-720"/>
        <w:rPr>
          <w:rFonts w:eastAsia="Arial" w:cs="Arial"/>
          <w:i/>
          <w:iCs/>
          <w:color w:val="000000"/>
          <w:sz w:val="22"/>
          <w:szCs w:val="22"/>
        </w:rPr>
      </w:pPr>
      <w:r w:rsidRPr="00F22391">
        <w:rPr>
          <w:rFonts w:eastAsia="Arial" w:cs="Arial"/>
          <w:i/>
          <w:iCs/>
          <w:color w:val="000000"/>
          <w:sz w:val="22"/>
          <w:szCs w:val="22"/>
        </w:rPr>
        <w:t>Peer Learning &amp; Mentoring</w:t>
      </w:r>
    </w:p>
    <w:p w:rsidR="00ED06DD" w:rsidRPr="00F22391" w:rsidRDefault="00ED06DD" w:rsidP="004B420B">
      <w:pPr>
        <w:ind w:left="-630" w:right="-720"/>
        <w:rPr>
          <w:rFonts w:eastAsia="Arial" w:cs="Arial"/>
          <w:iCs/>
          <w:color w:val="000000"/>
          <w:sz w:val="22"/>
          <w:szCs w:val="22"/>
        </w:rPr>
      </w:pPr>
      <w:r w:rsidRPr="00F22391">
        <w:rPr>
          <w:rFonts w:eastAsia="Arial" w:cs="Arial"/>
          <w:iCs/>
          <w:color w:val="000000"/>
          <w:sz w:val="22"/>
          <w:szCs w:val="22"/>
        </w:rPr>
        <w:t>CDOs rated peer learning from local and national practitioners as an important component of capacity building.  While the CCDCBS would not directly provide peer learning, it can help identify content areas, identify relevant practitioners and either pair practitioners together to address a given challenge, or convene a larger group of practitioners to learn from one-another.</w:t>
      </w:r>
    </w:p>
    <w:p w:rsidR="00ED06DD" w:rsidRDefault="00ED06DD" w:rsidP="004B420B">
      <w:pPr>
        <w:ind w:left="-630" w:right="-720"/>
        <w:rPr>
          <w:rFonts w:eastAsia="Arial" w:cs="Arial"/>
          <w:i/>
          <w:iCs/>
          <w:color w:val="000000"/>
          <w:sz w:val="22"/>
          <w:szCs w:val="22"/>
        </w:rPr>
      </w:pPr>
    </w:p>
    <w:p w:rsidR="00ED06DD" w:rsidRPr="00F22391" w:rsidRDefault="00ED06DD" w:rsidP="004B420B">
      <w:pPr>
        <w:ind w:left="-630" w:right="-720"/>
        <w:rPr>
          <w:rFonts w:eastAsia="Arial" w:cs="Arial"/>
          <w:iCs/>
          <w:color w:val="000000"/>
          <w:sz w:val="22"/>
          <w:szCs w:val="22"/>
        </w:rPr>
      </w:pPr>
      <w:r w:rsidRPr="00F22391">
        <w:rPr>
          <w:rFonts w:eastAsia="Arial" w:cs="Arial"/>
          <w:i/>
          <w:iCs/>
          <w:color w:val="000000"/>
          <w:sz w:val="22"/>
          <w:szCs w:val="22"/>
        </w:rPr>
        <w:t>Consultative Technical Assistance</w:t>
      </w:r>
      <w:r w:rsidRPr="00F22391">
        <w:rPr>
          <w:rFonts w:eastAsia="Arial" w:cs="Arial"/>
          <w:iCs/>
          <w:color w:val="000000"/>
          <w:sz w:val="22"/>
          <w:szCs w:val="22"/>
        </w:rPr>
        <w:t xml:space="preserve"> </w:t>
      </w:r>
    </w:p>
    <w:p w:rsidR="00ED06DD" w:rsidRPr="00F22391" w:rsidRDefault="00ED06DD" w:rsidP="004B420B">
      <w:pPr>
        <w:ind w:left="-630" w:right="-720"/>
        <w:rPr>
          <w:rFonts w:eastAsia="Arial" w:cs="Arial"/>
          <w:b/>
          <w:iCs/>
          <w:color w:val="000000"/>
          <w:sz w:val="22"/>
          <w:szCs w:val="22"/>
        </w:rPr>
      </w:pPr>
      <w:r w:rsidRPr="00F22391">
        <w:rPr>
          <w:rFonts w:eastAsia="Arial" w:cs="Arial"/>
          <w:iCs/>
          <w:color w:val="000000"/>
          <w:sz w:val="22"/>
          <w:szCs w:val="22"/>
        </w:rPr>
        <w:t>CDOs rated “high-touch” delivery methodology as being the most conducive to learning.  One-on-one direct service provision is seen as producing the most effective and efficient capacity building.  In this format the services can be tailored to the specific needs of the CDO and can be provided over a long-term arrangement (versus the limited engagement of a one-time class or peer convening).</w:t>
      </w:r>
    </w:p>
    <w:p w:rsidR="00ED06DD" w:rsidRPr="00E25A24" w:rsidRDefault="00ED06DD" w:rsidP="004B420B">
      <w:pPr>
        <w:ind w:left="-630" w:right="-720"/>
        <w:rPr>
          <w:rFonts w:eastAsia="Arial" w:cs="Arial"/>
          <w:b/>
          <w:iCs/>
          <w:color w:val="000000"/>
        </w:rPr>
      </w:pPr>
    </w:p>
    <w:p w:rsidR="00ED06DD" w:rsidRPr="00E25A24" w:rsidRDefault="00ED06DD" w:rsidP="004B420B">
      <w:pPr>
        <w:ind w:left="-630" w:right="-720"/>
        <w:rPr>
          <w:rFonts w:eastAsia="Arial" w:cs="Arial"/>
          <w:b/>
          <w:iCs/>
          <w:color w:val="000000"/>
        </w:rPr>
      </w:pPr>
      <w:r w:rsidRPr="00E25A24">
        <w:rPr>
          <w:rFonts w:eastAsia="Arial" w:cs="Arial"/>
          <w:b/>
          <w:iCs/>
          <w:color w:val="000000"/>
        </w:rPr>
        <w:t>Monitoring</w:t>
      </w:r>
    </w:p>
    <w:p w:rsidR="00ED06DD" w:rsidRPr="00F22391" w:rsidRDefault="00ED06DD" w:rsidP="004B420B">
      <w:pPr>
        <w:ind w:left="-630" w:right="-720"/>
        <w:rPr>
          <w:rFonts w:cs="Arial"/>
          <w:color w:val="222222"/>
          <w:sz w:val="22"/>
          <w:szCs w:val="22"/>
        </w:rPr>
      </w:pPr>
      <w:r w:rsidRPr="00F22391">
        <w:rPr>
          <w:rFonts w:cs="Arial"/>
          <w:color w:val="222222"/>
          <w:sz w:val="22"/>
          <w:szCs w:val="22"/>
        </w:rPr>
        <w:t>Monitoring is the ongoing process provided by the CCDCBS to assess the effectiveness of the capacity building services, learn best practices, and make continual improvements.</w:t>
      </w:r>
    </w:p>
    <w:p w:rsidR="00ED06DD" w:rsidRPr="00F22391" w:rsidRDefault="00ED06DD" w:rsidP="004B420B">
      <w:pPr>
        <w:ind w:left="-630" w:right="-720"/>
        <w:rPr>
          <w:rFonts w:cs="Arial"/>
          <w:color w:val="222222"/>
          <w:sz w:val="22"/>
          <w:szCs w:val="22"/>
        </w:rPr>
      </w:pPr>
    </w:p>
    <w:p w:rsidR="00ED06DD" w:rsidRPr="00F22391" w:rsidRDefault="00ED06DD" w:rsidP="004B420B">
      <w:pPr>
        <w:ind w:left="-630" w:right="-720"/>
        <w:rPr>
          <w:rFonts w:cs="Arial"/>
          <w:color w:val="222222"/>
          <w:sz w:val="22"/>
          <w:szCs w:val="22"/>
        </w:rPr>
      </w:pPr>
      <w:r w:rsidRPr="00F22391">
        <w:rPr>
          <w:rFonts w:cs="Arial"/>
          <w:color w:val="222222"/>
          <w:sz w:val="22"/>
          <w:szCs w:val="22"/>
        </w:rPr>
        <w:t>The Monitoring process includes services related to service providers, client community development organizations, and the overall capacity building system:</w:t>
      </w:r>
    </w:p>
    <w:p w:rsidR="00ED06DD" w:rsidRPr="00F22391" w:rsidRDefault="00ED06DD" w:rsidP="004B420B">
      <w:pPr>
        <w:numPr>
          <w:ilvl w:val="0"/>
          <w:numId w:val="9"/>
        </w:numPr>
        <w:ind w:left="-630" w:right="-720"/>
        <w:contextualSpacing/>
        <w:rPr>
          <w:rFonts w:cs="Arial"/>
          <w:color w:val="222222"/>
          <w:sz w:val="22"/>
          <w:szCs w:val="22"/>
        </w:rPr>
      </w:pPr>
      <w:r w:rsidRPr="00F22391">
        <w:rPr>
          <w:rFonts w:cs="Arial"/>
          <w:i/>
          <w:color w:val="222222"/>
          <w:sz w:val="22"/>
          <w:szCs w:val="22"/>
        </w:rPr>
        <w:t>Vetting and quality control of TA</w:t>
      </w:r>
      <w:r w:rsidRPr="00F22391">
        <w:rPr>
          <w:rFonts w:cs="Arial"/>
          <w:color w:val="222222"/>
          <w:sz w:val="22"/>
          <w:szCs w:val="22"/>
        </w:rPr>
        <w:t xml:space="preserve"> service providers, </w:t>
      </w:r>
    </w:p>
    <w:p w:rsidR="00ED06DD" w:rsidRPr="00F22391" w:rsidRDefault="00ED06DD" w:rsidP="004B420B">
      <w:pPr>
        <w:numPr>
          <w:ilvl w:val="0"/>
          <w:numId w:val="9"/>
        </w:numPr>
        <w:ind w:left="-630" w:right="-720"/>
        <w:contextualSpacing/>
        <w:rPr>
          <w:rFonts w:cs="Arial"/>
          <w:color w:val="222222"/>
          <w:sz w:val="22"/>
          <w:szCs w:val="22"/>
        </w:rPr>
      </w:pPr>
      <w:r w:rsidRPr="00F22391">
        <w:rPr>
          <w:rFonts w:cs="Arial"/>
          <w:i/>
          <w:color w:val="222222"/>
          <w:sz w:val="22"/>
          <w:szCs w:val="22"/>
        </w:rPr>
        <w:t>Assessing client organizational progress</w:t>
      </w:r>
      <w:r w:rsidRPr="00F22391">
        <w:rPr>
          <w:rFonts w:cs="Arial"/>
          <w:color w:val="222222"/>
          <w:sz w:val="22"/>
          <w:szCs w:val="22"/>
        </w:rPr>
        <w:t xml:space="preserve"> using agreed-on success measures being developed through the </w:t>
      </w:r>
      <w:proofErr w:type="spellStart"/>
      <w:r w:rsidRPr="00F22391">
        <w:rPr>
          <w:rFonts w:cs="Arial"/>
          <w:color w:val="222222"/>
          <w:sz w:val="22"/>
          <w:szCs w:val="22"/>
        </w:rPr>
        <w:t>Co.act</w:t>
      </w:r>
      <w:proofErr w:type="spellEnd"/>
      <w:r w:rsidRPr="00F22391">
        <w:rPr>
          <w:rFonts w:cs="Arial"/>
          <w:color w:val="222222"/>
          <w:sz w:val="22"/>
          <w:szCs w:val="22"/>
        </w:rPr>
        <w:t xml:space="preserve"> Detroit entity and the BECDD process (“Neighborhood Vitality”),  </w:t>
      </w:r>
    </w:p>
    <w:p w:rsidR="005737EF" w:rsidRDefault="00ED06DD" w:rsidP="004B420B">
      <w:pPr>
        <w:numPr>
          <w:ilvl w:val="0"/>
          <w:numId w:val="9"/>
        </w:numPr>
        <w:ind w:left="-630" w:right="-720"/>
        <w:contextualSpacing/>
        <w:rPr>
          <w:rFonts w:cs="Arial"/>
          <w:color w:val="222222"/>
          <w:sz w:val="22"/>
          <w:szCs w:val="22"/>
        </w:rPr>
      </w:pPr>
      <w:r w:rsidRPr="00F22391">
        <w:rPr>
          <w:rFonts w:cs="Arial"/>
          <w:i/>
          <w:color w:val="222222"/>
          <w:sz w:val="22"/>
          <w:szCs w:val="22"/>
        </w:rPr>
        <w:t>Analysis of service gaps and needs</w:t>
      </w:r>
      <w:r w:rsidRPr="00F22391">
        <w:rPr>
          <w:rFonts w:cs="Arial"/>
          <w:color w:val="222222"/>
          <w:sz w:val="22"/>
          <w:szCs w:val="22"/>
        </w:rPr>
        <w:t xml:space="preserve"> across the whole community development system</w:t>
      </w:r>
      <w:r w:rsidR="005737EF">
        <w:rPr>
          <w:rFonts w:cs="Arial"/>
          <w:color w:val="222222"/>
          <w:sz w:val="22"/>
          <w:szCs w:val="22"/>
        </w:rPr>
        <w:t>, and</w:t>
      </w:r>
    </w:p>
    <w:p w:rsidR="00ED06DD" w:rsidRPr="00F22391" w:rsidRDefault="00ED06DD" w:rsidP="004B420B">
      <w:pPr>
        <w:ind w:left="-630" w:right="-720"/>
        <w:contextualSpacing/>
        <w:rPr>
          <w:rFonts w:cs="Arial"/>
          <w:color w:val="222222"/>
          <w:sz w:val="22"/>
          <w:szCs w:val="22"/>
        </w:rPr>
      </w:pPr>
      <w:r w:rsidRPr="00F22391">
        <w:rPr>
          <w:rFonts w:cs="Arial"/>
          <w:color w:val="222222"/>
          <w:sz w:val="22"/>
          <w:szCs w:val="22"/>
        </w:rPr>
        <w:t>recommendations and/or advocacy for improvements.</w:t>
      </w:r>
    </w:p>
    <w:p w:rsidR="00ED06DD" w:rsidRPr="00F22391" w:rsidRDefault="00ED06DD" w:rsidP="004B420B">
      <w:pPr>
        <w:numPr>
          <w:ilvl w:val="0"/>
          <w:numId w:val="9"/>
        </w:numPr>
        <w:ind w:left="-630" w:right="-720"/>
        <w:rPr>
          <w:rFonts w:cs="Arial"/>
          <w:i/>
          <w:color w:val="222222"/>
          <w:sz w:val="22"/>
          <w:szCs w:val="22"/>
        </w:rPr>
      </w:pPr>
      <w:r w:rsidRPr="00F22391">
        <w:rPr>
          <w:rFonts w:cs="Arial"/>
          <w:i/>
          <w:color w:val="222222"/>
          <w:sz w:val="22"/>
          <w:szCs w:val="22"/>
        </w:rPr>
        <w:t xml:space="preserve">Vetting Quality of TA Service Providers </w:t>
      </w:r>
    </w:p>
    <w:p w:rsidR="004B420B" w:rsidRDefault="00ED06DD" w:rsidP="004B420B">
      <w:pPr>
        <w:ind w:left="-630" w:right="-720"/>
        <w:rPr>
          <w:rFonts w:cs="Arial"/>
          <w:color w:val="222222"/>
          <w:sz w:val="22"/>
          <w:szCs w:val="22"/>
        </w:rPr>
      </w:pPr>
      <w:r w:rsidRPr="00F22391">
        <w:rPr>
          <w:rFonts w:cs="Arial"/>
          <w:color w:val="222222"/>
          <w:sz w:val="22"/>
          <w:szCs w:val="22"/>
        </w:rPr>
        <w:t xml:space="preserve">As noted previously, most standard non-profit associations do not provide extensive quality control systems and instead publish the names of TA service providers based on whether those TA Providers are paid membership in the organization (i.e. MNA, CAM, and </w:t>
      </w:r>
      <w:proofErr w:type="spellStart"/>
      <w:r w:rsidRPr="00F22391">
        <w:rPr>
          <w:rFonts w:cs="Arial"/>
          <w:color w:val="222222"/>
          <w:sz w:val="22"/>
          <w:szCs w:val="22"/>
        </w:rPr>
        <w:t>CultureSource</w:t>
      </w:r>
      <w:proofErr w:type="spellEnd"/>
      <w:r w:rsidRPr="00F22391">
        <w:rPr>
          <w:rFonts w:cs="Arial"/>
          <w:color w:val="222222"/>
          <w:sz w:val="22"/>
          <w:szCs w:val="22"/>
        </w:rPr>
        <w:t xml:space="preserve">). In the proposed CCDCBS model, a more formal process would be created to vet, select, and monitor quality of the TA service providers.  The process can be modeled after MSHDA’s process to pre-select a pool of consultants.  An RFQ for consultants can be issued in a variety of areas, based on feedback of needs from CDOs. Those RFQs can be pre-screened for quality, experience, and rates per topic area.  Those selected are then added to a list of pre-approved contractors available to partner organizations.  CDOs can then have an opportunity to provide ratings and written reviews for the list of providers.   </w:t>
      </w:r>
    </w:p>
    <w:p w:rsidR="00ED06DD" w:rsidRPr="00F22391" w:rsidRDefault="00ED06DD" w:rsidP="004B420B">
      <w:pPr>
        <w:ind w:left="-630" w:right="-720"/>
        <w:rPr>
          <w:rFonts w:cs="Arial"/>
          <w:color w:val="222222"/>
          <w:sz w:val="22"/>
          <w:szCs w:val="22"/>
        </w:rPr>
      </w:pPr>
      <w:r w:rsidRPr="00F22391">
        <w:rPr>
          <w:rFonts w:cs="Arial"/>
          <w:color w:val="222222"/>
          <w:sz w:val="22"/>
          <w:szCs w:val="22"/>
        </w:rPr>
        <w:lastRenderedPageBreak/>
        <w:t>As TA providers offer their services through the CCDCBS, the client organizations can be given the opportunity to rate them (an example tool that could be used is available on NEW’s website).  Similar to Angie’s List, the quality control can involve ratings, customer reviews, and an appeals process.  To encourage client organizations to provide these reviews, users could be incentivized, or otherwise required, to rate their service providers as part of the process.</w:t>
      </w:r>
    </w:p>
    <w:p w:rsidR="00ED06DD" w:rsidRPr="00F22391" w:rsidRDefault="00ED06DD" w:rsidP="004B420B">
      <w:pPr>
        <w:ind w:left="-630" w:right="-720"/>
        <w:rPr>
          <w:rFonts w:cs="Arial"/>
          <w:color w:val="222222"/>
          <w:sz w:val="22"/>
          <w:szCs w:val="22"/>
        </w:rPr>
      </w:pPr>
    </w:p>
    <w:p w:rsidR="00ED06DD" w:rsidRPr="00F22391" w:rsidRDefault="00ED06DD" w:rsidP="004B420B">
      <w:pPr>
        <w:ind w:left="-630" w:right="-720"/>
        <w:rPr>
          <w:rFonts w:cs="Arial"/>
          <w:color w:val="222222"/>
          <w:sz w:val="22"/>
          <w:szCs w:val="22"/>
        </w:rPr>
      </w:pPr>
      <w:r w:rsidRPr="00F22391">
        <w:rPr>
          <w:rFonts w:cs="Arial"/>
          <w:color w:val="222222"/>
          <w:sz w:val="22"/>
          <w:szCs w:val="22"/>
        </w:rPr>
        <w:t xml:space="preserve">For for-profit firms or organizations offering specialized services (accounting, legal, planning, design), a determination can be made of their willingness to be added to a list of pro-bono service providers.  </w:t>
      </w:r>
    </w:p>
    <w:p w:rsidR="00ED06DD" w:rsidRPr="00F22391" w:rsidRDefault="00ED06DD" w:rsidP="004B420B">
      <w:pPr>
        <w:ind w:left="-630" w:right="-720"/>
        <w:rPr>
          <w:rFonts w:cs="Arial"/>
          <w:color w:val="222222"/>
          <w:sz w:val="22"/>
          <w:szCs w:val="22"/>
        </w:rPr>
      </w:pPr>
    </w:p>
    <w:p w:rsidR="00ED06DD" w:rsidRPr="00F22391" w:rsidRDefault="00ED06DD" w:rsidP="004B420B">
      <w:pPr>
        <w:ind w:left="-630" w:right="-720"/>
        <w:rPr>
          <w:rFonts w:cs="Arial"/>
          <w:color w:val="222222"/>
          <w:sz w:val="22"/>
          <w:szCs w:val="22"/>
        </w:rPr>
      </w:pPr>
      <w:r w:rsidRPr="00F22391">
        <w:rPr>
          <w:rFonts w:cs="Arial"/>
          <w:color w:val="222222"/>
          <w:sz w:val="22"/>
          <w:szCs w:val="22"/>
        </w:rPr>
        <w:t>Finally, to ensure that the collective insights and best practices of all the stakeholders can enhance the overall system, service providers would be regularly convened together and periodically convened with CDOs and GROs to share their learnings with each other to jointly discuss system strategies and improvements that could improve CDO and GRO capacity.</w:t>
      </w:r>
    </w:p>
    <w:p w:rsidR="00ED06DD" w:rsidRPr="00F22391" w:rsidRDefault="00ED06DD" w:rsidP="004B420B">
      <w:pPr>
        <w:ind w:left="-630" w:right="-720"/>
        <w:rPr>
          <w:rFonts w:cs="Arial"/>
          <w:i/>
          <w:color w:val="222222"/>
          <w:sz w:val="22"/>
          <w:szCs w:val="22"/>
        </w:rPr>
      </w:pPr>
    </w:p>
    <w:p w:rsidR="00ED06DD" w:rsidRPr="00F22391" w:rsidRDefault="00ED06DD" w:rsidP="004B420B">
      <w:pPr>
        <w:numPr>
          <w:ilvl w:val="0"/>
          <w:numId w:val="9"/>
        </w:numPr>
        <w:ind w:left="-630" w:right="-720"/>
        <w:rPr>
          <w:rFonts w:cs="Arial"/>
          <w:i/>
          <w:color w:val="222222"/>
          <w:sz w:val="22"/>
          <w:szCs w:val="22"/>
        </w:rPr>
      </w:pPr>
      <w:r w:rsidRPr="00F22391">
        <w:rPr>
          <w:rFonts w:cs="Arial"/>
          <w:i/>
          <w:color w:val="222222"/>
          <w:sz w:val="22"/>
          <w:szCs w:val="22"/>
        </w:rPr>
        <w:t>Assessing Progress with Client Organizational Users</w:t>
      </w:r>
    </w:p>
    <w:p w:rsidR="00ED06DD" w:rsidRPr="00F22391" w:rsidRDefault="00ED06DD" w:rsidP="004B420B">
      <w:pPr>
        <w:ind w:left="-630" w:right="-720"/>
        <w:rPr>
          <w:rFonts w:cs="Arial"/>
          <w:color w:val="222222"/>
          <w:sz w:val="22"/>
          <w:szCs w:val="22"/>
        </w:rPr>
      </w:pPr>
      <w:r w:rsidRPr="00F22391">
        <w:rPr>
          <w:rFonts w:cs="Arial"/>
          <w:color w:val="222222"/>
          <w:sz w:val="22"/>
          <w:szCs w:val="22"/>
        </w:rPr>
        <w:t xml:space="preserve">Where a client organization has requested it, the assessment process can provide a baseline analysis of an organization’s current capacity needs and then an evaluation of the same elements can be made after capacity building services have been provided, in order to measure organizational progress.  </w:t>
      </w:r>
    </w:p>
    <w:p w:rsidR="00ED06DD" w:rsidRDefault="00ED06DD" w:rsidP="004B420B">
      <w:pPr>
        <w:ind w:left="-630" w:right="-720"/>
        <w:rPr>
          <w:rFonts w:cs="Arial"/>
          <w:color w:val="222222"/>
          <w:sz w:val="22"/>
          <w:szCs w:val="22"/>
        </w:rPr>
      </w:pPr>
    </w:p>
    <w:p w:rsidR="00ED06DD" w:rsidRPr="00F22391" w:rsidRDefault="00ED06DD" w:rsidP="004B420B">
      <w:pPr>
        <w:ind w:left="-630" w:right="-720"/>
        <w:rPr>
          <w:rFonts w:cs="Arial"/>
          <w:color w:val="222222"/>
          <w:sz w:val="22"/>
          <w:szCs w:val="22"/>
        </w:rPr>
      </w:pPr>
      <w:r w:rsidRPr="00F22391">
        <w:rPr>
          <w:rFonts w:cs="Arial"/>
          <w:color w:val="222222"/>
          <w:sz w:val="22"/>
          <w:szCs w:val="22"/>
        </w:rPr>
        <w:t xml:space="preserve">However, this “baseline” picture of the status of a client organization creates an incomplete picture of progress being made by CDOs and GROs towards strengthening of neighborhoods. </w:t>
      </w:r>
    </w:p>
    <w:p w:rsidR="00ED06DD" w:rsidRPr="00F22391" w:rsidRDefault="00ED06DD" w:rsidP="004B420B">
      <w:pPr>
        <w:ind w:left="-630" w:right="-720"/>
        <w:rPr>
          <w:rFonts w:cs="Arial"/>
          <w:color w:val="222222"/>
          <w:sz w:val="22"/>
          <w:szCs w:val="22"/>
        </w:rPr>
      </w:pPr>
      <w:r w:rsidRPr="00F22391">
        <w:rPr>
          <w:rFonts w:cs="Arial"/>
          <w:color w:val="222222"/>
          <w:sz w:val="22"/>
          <w:szCs w:val="22"/>
        </w:rPr>
        <w:t>Therefore, a complementary process is needed to assess organizational progress towards agreed-on performance standards that support the “Neighborhood Vitality” success measures indicators that BECDD stakeholders are now developing.  This was an important component of the feedback that came out of the 2017 BECDD Summit, which was to tie CDO and GRO performance to the elements of a “successful neighborhood.”</w:t>
      </w:r>
    </w:p>
    <w:p w:rsidR="00ED06DD" w:rsidRPr="00E25A24" w:rsidRDefault="00ED06DD" w:rsidP="004B420B">
      <w:pPr>
        <w:ind w:left="-630" w:right="-720"/>
        <w:rPr>
          <w:rFonts w:cs="Arial"/>
          <w:color w:val="222222"/>
        </w:rPr>
      </w:pPr>
    </w:p>
    <w:p w:rsidR="00ED06DD" w:rsidRPr="005737EF" w:rsidRDefault="00ED06DD" w:rsidP="004B420B">
      <w:pPr>
        <w:ind w:left="-630" w:right="-720"/>
        <w:rPr>
          <w:rFonts w:cs="Arial"/>
          <w:color w:val="222222"/>
          <w:sz w:val="22"/>
          <w:szCs w:val="22"/>
        </w:rPr>
      </w:pPr>
      <w:r w:rsidRPr="00F22391">
        <w:rPr>
          <w:rFonts w:cs="Arial"/>
          <w:color w:val="222222"/>
          <w:sz w:val="22"/>
          <w:szCs w:val="22"/>
        </w:rPr>
        <w:t xml:space="preserve">In regard to CDO organizational performance standards based on “best practices,” these are not yet created.  BECDD is </w:t>
      </w:r>
      <w:proofErr w:type="spellStart"/>
      <w:r w:rsidRPr="00F22391">
        <w:rPr>
          <w:rFonts w:cs="Arial"/>
          <w:color w:val="222222"/>
          <w:sz w:val="22"/>
          <w:szCs w:val="22"/>
        </w:rPr>
        <w:t>commited</w:t>
      </w:r>
      <w:proofErr w:type="spellEnd"/>
      <w:r w:rsidRPr="00F22391">
        <w:rPr>
          <w:rFonts w:cs="Arial"/>
          <w:color w:val="222222"/>
          <w:sz w:val="22"/>
          <w:szCs w:val="22"/>
        </w:rPr>
        <w:t xml:space="preserve"> to support working with stakeholders, including CDOs, through 2019-2020 to develop performance standards and a “performance certification” process. Given the time it will take to develop performance standards for Detroit CDOs, against the urgency of building CDO capacity now, it seems that providing an annual assessment</w:t>
      </w:r>
      <w:r w:rsidRPr="00E25A24">
        <w:rPr>
          <w:rFonts w:cs="Arial"/>
          <w:color w:val="222222"/>
        </w:rPr>
        <w:t xml:space="preserve"> </w:t>
      </w:r>
      <w:r w:rsidRPr="00F22391">
        <w:rPr>
          <w:rFonts w:cs="Arial"/>
          <w:color w:val="222222"/>
          <w:sz w:val="22"/>
          <w:szCs w:val="22"/>
        </w:rPr>
        <w:t>process could provide a quick guide to a CDO’s ability</w:t>
      </w:r>
      <w:r w:rsidRPr="00E25A24">
        <w:rPr>
          <w:rFonts w:cs="Arial"/>
          <w:color w:val="222222"/>
        </w:rPr>
        <w:t xml:space="preserve"> to</w:t>
      </w:r>
      <w:r w:rsidR="005737EF">
        <w:rPr>
          <w:rFonts w:cs="Arial"/>
          <w:color w:val="222222"/>
        </w:rPr>
        <w:t xml:space="preserve"> </w:t>
      </w:r>
      <w:r w:rsidR="005737EF" w:rsidRPr="00F22391">
        <w:rPr>
          <w:rFonts w:cs="Arial"/>
          <w:color w:val="222222"/>
          <w:sz w:val="22"/>
          <w:szCs w:val="22"/>
        </w:rPr>
        <w:t>positively impact the community it serves.  The “Neighborhood Vitality” success measures would then be added to a more robust evaluation tool as the success measures are finalized.</w:t>
      </w:r>
    </w:p>
    <w:p w:rsidR="00ED06DD" w:rsidRDefault="00ED06DD" w:rsidP="004B420B">
      <w:pPr>
        <w:ind w:left="-630" w:right="-720"/>
        <w:rPr>
          <w:rFonts w:eastAsia="Arial" w:cs="Arial"/>
          <w:iCs/>
          <w:color w:val="000000"/>
        </w:rPr>
      </w:pPr>
    </w:p>
    <w:p w:rsidR="005737EF" w:rsidRPr="00F22391" w:rsidRDefault="005737EF" w:rsidP="004B420B">
      <w:pPr>
        <w:numPr>
          <w:ilvl w:val="0"/>
          <w:numId w:val="9"/>
        </w:numPr>
        <w:ind w:left="-630" w:right="-720"/>
        <w:rPr>
          <w:rFonts w:cs="Arial"/>
          <w:i/>
          <w:color w:val="222222"/>
          <w:sz w:val="22"/>
          <w:szCs w:val="22"/>
        </w:rPr>
      </w:pPr>
      <w:r w:rsidRPr="00F22391">
        <w:rPr>
          <w:rFonts w:cs="Arial"/>
          <w:i/>
          <w:color w:val="222222"/>
          <w:sz w:val="22"/>
          <w:szCs w:val="22"/>
        </w:rPr>
        <w:t>Service Gap Analysis and Advocacy for Additional/Improved Services</w:t>
      </w:r>
    </w:p>
    <w:p w:rsidR="005737EF" w:rsidRPr="00F22391" w:rsidRDefault="005737EF" w:rsidP="004B420B">
      <w:pPr>
        <w:ind w:left="-630" w:right="-720"/>
        <w:rPr>
          <w:rFonts w:cs="Arial"/>
          <w:color w:val="222222"/>
          <w:sz w:val="22"/>
          <w:szCs w:val="22"/>
        </w:rPr>
      </w:pPr>
      <w:r w:rsidRPr="00F22391">
        <w:rPr>
          <w:rFonts w:cs="Arial"/>
          <w:color w:val="222222"/>
          <w:sz w:val="22"/>
          <w:szCs w:val="22"/>
        </w:rPr>
        <w:t>An annual or bi-annual process for analyzing service gaps could be added to the CCDCBS scope. This includes surveys and convenings of both TA service providers and client organizations. The results of this research could be a regular part of the discussion facilitated by the CCDCBS “Coordinating” organization when it convenes services providers separately, and service providers and client organizations together.</w:t>
      </w:r>
    </w:p>
    <w:p w:rsidR="005737EF" w:rsidRPr="00F22391" w:rsidRDefault="005737EF" w:rsidP="004B420B">
      <w:pPr>
        <w:ind w:left="-630" w:right="-720"/>
        <w:rPr>
          <w:rFonts w:eastAsia="Arial" w:cs="Arial"/>
          <w:b/>
          <w:iCs/>
          <w:color w:val="000000"/>
          <w:sz w:val="22"/>
          <w:szCs w:val="22"/>
        </w:rPr>
      </w:pPr>
    </w:p>
    <w:p w:rsidR="005737EF" w:rsidRPr="00E25A24" w:rsidRDefault="005737EF" w:rsidP="004B420B">
      <w:pPr>
        <w:ind w:left="-630" w:right="-720"/>
        <w:rPr>
          <w:rFonts w:eastAsia="Arial" w:cs="Arial"/>
          <w:b/>
          <w:iCs/>
          <w:color w:val="000000"/>
        </w:rPr>
      </w:pPr>
      <w:r w:rsidRPr="00E25A24">
        <w:rPr>
          <w:rFonts w:eastAsia="Arial" w:cs="Arial"/>
          <w:b/>
          <w:iCs/>
          <w:color w:val="000000"/>
        </w:rPr>
        <w:t>Payment System</w:t>
      </w:r>
    </w:p>
    <w:p w:rsidR="005737EF" w:rsidRPr="00F22391" w:rsidRDefault="005737EF" w:rsidP="004B420B">
      <w:pPr>
        <w:ind w:left="-630" w:right="-720"/>
        <w:rPr>
          <w:rFonts w:eastAsia="Arial" w:cs="Arial"/>
          <w:iCs/>
          <w:color w:val="000000"/>
          <w:sz w:val="22"/>
          <w:szCs w:val="22"/>
        </w:rPr>
      </w:pPr>
      <w:r w:rsidRPr="00F22391">
        <w:rPr>
          <w:rFonts w:eastAsia="Arial" w:cs="Arial"/>
          <w:iCs/>
          <w:color w:val="000000"/>
          <w:sz w:val="22"/>
          <w:szCs w:val="22"/>
        </w:rPr>
        <w:t xml:space="preserve">The services noted above could include a combination of fee and “free” services.  They have been categorized in the following four segments: </w:t>
      </w:r>
    </w:p>
    <w:p w:rsidR="005737EF" w:rsidRPr="00F22391" w:rsidRDefault="005737EF" w:rsidP="004B420B">
      <w:pPr>
        <w:numPr>
          <w:ilvl w:val="0"/>
          <w:numId w:val="10"/>
        </w:numPr>
        <w:ind w:left="-630" w:right="-720"/>
        <w:contextualSpacing/>
        <w:rPr>
          <w:rFonts w:eastAsia="Arial" w:cs="Arial"/>
          <w:iCs/>
          <w:color w:val="000000"/>
          <w:sz w:val="22"/>
          <w:szCs w:val="22"/>
        </w:rPr>
      </w:pPr>
      <w:r w:rsidRPr="00F22391">
        <w:rPr>
          <w:rFonts w:eastAsia="Arial" w:cs="Arial"/>
          <w:iCs/>
          <w:color w:val="000000"/>
          <w:sz w:val="22"/>
          <w:szCs w:val="22"/>
        </w:rPr>
        <w:lastRenderedPageBreak/>
        <w:t xml:space="preserve">Free and Voluntary Services, </w:t>
      </w:r>
    </w:p>
    <w:p w:rsidR="005737EF" w:rsidRPr="00F22391" w:rsidRDefault="005737EF" w:rsidP="004B420B">
      <w:pPr>
        <w:numPr>
          <w:ilvl w:val="0"/>
          <w:numId w:val="10"/>
        </w:numPr>
        <w:ind w:left="-630" w:right="-720"/>
        <w:contextualSpacing/>
        <w:rPr>
          <w:rFonts w:eastAsia="Arial" w:cs="Arial"/>
          <w:iCs/>
          <w:color w:val="000000"/>
          <w:sz w:val="22"/>
          <w:szCs w:val="22"/>
        </w:rPr>
      </w:pPr>
      <w:r w:rsidRPr="00F22391">
        <w:rPr>
          <w:rFonts w:eastAsia="Arial" w:cs="Arial"/>
          <w:iCs/>
          <w:color w:val="000000"/>
          <w:sz w:val="22"/>
          <w:szCs w:val="22"/>
        </w:rPr>
        <w:t xml:space="preserve">Pro bono Professional Referrals, </w:t>
      </w:r>
    </w:p>
    <w:p w:rsidR="005737EF" w:rsidRPr="00F22391" w:rsidRDefault="005737EF" w:rsidP="004B420B">
      <w:pPr>
        <w:numPr>
          <w:ilvl w:val="0"/>
          <w:numId w:val="10"/>
        </w:numPr>
        <w:ind w:left="-630" w:right="-720"/>
        <w:contextualSpacing/>
        <w:rPr>
          <w:rFonts w:eastAsia="Arial" w:cs="Arial"/>
          <w:iCs/>
          <w:color w:val="000000"/>
          <w:sz w:val="22"/>
          <w:szCs w:val="22"/>
        </w:rPr>
      </w:pPr>
      <w:r w:rsidRPr="00F22391">
        <w:rPr>
          <w:rFonts w:eastAsia="Arial" w:cs="Arial"/>
          <w:iCs/>
          <w:color w:val="000000"/>
          <w:sz w:val="22"/>
          <w:szCs w:val="22"/>
        </w:rPr>
        <w:t>Open Market Fees, and</w:t>
      </w:r>
    </w:p>
    <w:p w:rsidR="005737EF" w:rsidRPr="00F22391" w:rsidRDefault="005737EF" w:rsidP="004B420B">
      <w:pPr>
        <w:numPr>
          <w:ilvl w:val="0"/>
          <w:numId w:val="10"/>
        </w:numPr>
        <w:ind w:left="-630" w:right="-720"/>
        <w:contextualSpacing/>
        <w:rPr>
          <w:rFonts w:eastAsia="Arial" w:cs="Arial"/>
          <w:iCs/>
          <w:color w:val="000000"/>
          <w:sz w:val="22"/>
          <w:szCs w:val="22"/>
        </w:rPr>
      </w:pPr>
      <w:r w:rsidRPr="00F22391">
        <w:rPr>
          <w:rFonts w:eastAsia="Arial" w:cs="Arial"/>
          <w:iCs/>
          <w:color w:val="000000"/>
          <w:sz w:val="22"/>
          <w:szCs w:val="22"/>
        </w:rPr>
        <w:t>Voucher System</w:t>
      </w:r>
    </w:p>
    <w:p w:rsidR="005737EF" w:rsidRPr="00F22391" w:rsidRDefault="005737EF" w:rsidP="004B420B">
      <w:pPr>
        <w:ind w:left="-630" w:right="-720"/>
        <w:rPr>
          <w:rFonts w:eastAsia="Arial" w:cs="Arial"/>
          <w:iCs/>
          <w:color w:val="000000"/>
          <w:sz w:val="22"/>
          <w:szCs w:val="22"/>
        </w:rPr>
      </w:pPr>
    </w:p>
    <w:p w:rsidR="005737EF" w:rsidRPr="00F22391" w:rsidRDefault="005737EF" w:rsidP="004B420B">
      <w:pPr>
        <w:ind w:left="-630" w:right="-720"/>
        <w:rPr>
          <w:rFonts w:eastAsia="Arial" w:cs="Arial"/>
          <w:iCs/>
          <w:color w:val="000000"/>
          <w:sz w:val="22"/>
          <w:szCs w:val="22"/>
        </w:rPr>
      </w:pPr>
      <w:r w:rsidRPr="00F22391">
        <w:rPr>
          <w:rFonts w:eastAsia="Arial" w:cs="Arial"/>
          <w:iCs/>
          <w:color w:val="000000"/>
          <w:sz w:val="22"/>
          <w:szCs w:val="22"/>
        </w:rPr>
        <w:t>Different forms of these payment approaches are currently available but not easy to understand by client organizations in terms of accessibility, availability, cost or quality and would therefore be better coordinated through this strategy. The voucher system is a new concept and is discussed separately.</w:t>
      </w:r>
    </w:p>
    <w:p w:rsidR="005737EF" w:rsidRPr="00F22391" w:rsidRDefault="005737EF" w:rsidP="004B420B">
      <w:pPr>
        <w:ind w:left="-630" w:right="-720"/>
        <w:rPr>
          <w:rFonts w:eastAsia="Arial" w:cs="Arial"/>
          <w:iCs/>
          <w:color w:val="000000"/>
          <w:sz w:val="22"/>
          <w:szCs w:val="22"/>
        </w:rPr>
      </w:pPr>
    </w:p>
    <w:p w:rsidR="005737EF" w:rsidRPr="00F22391" w:rsidRDefault="005737EF" w:rsidP="004B420B">
      <w:pPr>
        <w:ind w:left="-630" w:right="-720"/>
        <w:rPr>
          <w:rFonts w:eastAsia="Arial" w:cs="Arial"/>
          <w:i/>
          <w:iCs/>
          <w:color w:val="000000"/>
          <w:sz w:val="22"/>
          <w:szCs w:val="22"/>
        </w:rPr>
      </w:pPr>
      <w:r w:rsidRPr="00F22391">
        <w:rPr>
          <w:rFonts w:eastAsia="Arial" w:cs="Arial"/>
          <w:i/>
          <w:iCs/>
          <w:color w:val="000000"/>
          <w:sz w:val="22"/>
          <w:szCs w:val="22"/>
        </w:rPr>
        <w:t>Free and Voluntary Services</w:t>
      </w:r>
    </w:p>
    <w:p w:rsidR="005737EF" w:rsidRPr="00F22391" w:rsidRDefault="005737EF" w:rsidP="004B420B">
      <w:pPr>
        <w:ind w:left="-630" w:right="-720"/>
        <w:rPr>
          <w:rFonts w:eastAsia="Arial" w:cs="Arial"/>
          <w:iCs/>
          <w:color w:val="000000"/>
          <w:sz w:val="22"/>
          <w:szCs w:val="22"/>
        </w:rPr>
      </w:pPr>
      <w:r w:rsidRPr="00F22391">
        <w:rPr>
          <w:rFonts w:eastAsia="Arial" w:cs="Arial"/>
          <w:iCs/>
          <w:color w:val="000000"/>
          <w:sz w:val="22"/>
          <w:szCs w:val="22"/>
        </w:rPr>
        <w:t>The “lighter touch” services or those that are needed by a majority of organizations could be offered through CCDCBS partners, as workshops or classroom trainings. While the CCDCBS itself would not create new programming, it would help in determining what trainings are needed, if they are currently offered by a partner, need to be upgraded or need to be created. It would also keep the calendar and registration system for all available classroom trainings.</w:t>
      </w:r>
    </w:p>
    <w:p w:rsidR="005737EF" w:rsidRPr="00F22391" w:rsidRDefault="005737EF" w:rsidP="004B420B">
      <w:pPr>
        <w:ind w:left="-630" w:right="-720"/>
        <w:rPr>
          <w:rFonts w:eastAsia="Arial" w:cs="Arial"/>
          <w:iCs/>
          <w:color w:val="000000"/>
          <w:sz w:val="22"/>
          <w:szCs w:val="22"/>
        </w:rPr>
      </w:pPr>
    </w:p>
    <w:p w:rsidR="005737EF" w:rsidRPr="00F22391" w:rsidRDefault="005737EF" w:rsidP="004B420B">
      <w:pPr>
        <w:ind w:left="-630" w:right="-720"/>
        <w:rPr>
          <w:rFonts w:eastAsia="Arial" w:cs="Arial"/>
          <w:iCs/>
          <w:color w:val="000000"/>
          <w:sz w:val="22"/>
          <w:szCs w:val="22"/>
        </w:rPr>
      </w:pPr>
      <w:r w:rsidRPr="00F22391">
        <w:rPr>
          <w:rFonts w:eastAsia="Arial" w:cs="Arial"/>
          <w:iCs/>
          <w:color w:val="000000"/>
          <w:sz w:val="22"/>
          <w:szCs w:val="22"/>
        </w:rPr>
        <w:t>Since the CCDCBS partners that are providing classroom would need their training costs covered, these “lighter-touch” services would need to be funded directly through philanthropy or other TA Providers’ earned revenue.</w:t>
      </w:r>
    </w:p>
    <w:p w:rsidR="005737EF" w:rsidRPr="00F22391" w:rsidRDefault="005737EF" w:rsidP="004B420B">
      <w:pPr>
        <w:ind w:left="-630" w:right="-720"/>
        <w:rPr>
          <w:rFonts w:eastAsia="Arial" w:cs="Arial"/>
          <w:iCs/>
          <w:color w:val="000000"/>
          <w:sz w:val="22"/>
          <w:szCs w:val="22"/>
        </w:rPr>
      </w:pPr>
    </w:p>
    <w:p w:rsidR="005737EF" w:rsidRPr="00F22391" w:rsidRDefault="005737EF" w:rsidP="004B420B">
      <w:pPr>
        <w:ind w:left="-630" w:right="-720"/>
        <w:rPr>
          <w:rFonts w:eastAsia="Arial" w:cs="Arial"/>
          <w:i/>
          <w:iCs/>
          <w:color w:val="000000"/>
          <w:sz w:val="22"/>
          <w:szCs w:val="22"/>
        </w:rPr>
      </w:pPr>
      <w:r w:rsidRPr="00F22391">
        <w:rPr>
          <w:rFonts w:eastAsia="Arial" w:cs="Arial"/>
          <w:i/>
          <w:iCs/>
          <w:color w:val="000000"/>
          <w:sz w:val="22"/>
          <w:szCs w:val="22"/>
        </w:rPr>
        <w:t>Pro bono Professional Referrals</w:t>
      </w:r>
    </w:p>
    <w:p w:rsidR="005737EF" w:rsidRPr="00F22391" w:rsidRDefault="005737EF" w:rsidP="004B420B">
      <w:pPr>
        <w:ind w:left="-630" w:right="-720"/>
        <w:rPr>
          <w:rFonts w:eastAsia="Arial" w:cs="Arial"/>
          <w:iCs/>
          <w:color w:val="000000"/>
          <w:sz w:val="22"/>
          <w:szCs w:val="22"/>
        </w:rPr>
      </w:pPr>
      <w:r w:rsidRPr="00F22391">
        <w:rPr>
          <w:rFonts w:eastAsia="Arial" w:cs="Arial"/>
          <w:iCs/>
          <w:color w:val="000000"/>
          <w:sz w:val="22"/>
          <w:szCs w:val="22"/>
        </w:rPr>
        <w:t>A robust pro bono referral system through the CCDCBS or one of its partners could provide a variety of “free” professional services to organizations using Michigan Community Resources’ (MCR) model for pro bono legal services as well as Michigan APA’s model of connecting CDOs with pro bono planners, or the Philadelphia Community Design Collaborative model.</w:t>
      </w:r>
    </w:p>
    <w:p w:rsidR="005737EF" w:rsidRPr="00F22391" w:rsidRDefault="005737EF" w:rsidP="004B420B">
      <w:pPr>
        <w:ind w:left="-630" w:right="-720"/>
        <w:rPr>
          <w:rFonts w:eastAsia="Arial" w:cs="Arial"/>
          <w:iCs/>
          <w:color w:val="000000"/>
          <w:sz w:val="22"/>
          <w:szCs w:val="22"/>
        </w:rPr>
      </w:pPr>
    </w:p>
    <w:p w:rsidR="005737EF" w:rsidRPr="00F22391" w:rsidRDefault="005737EF" w:rsidP="004B420B">
      <w:pPr>
        <w:ind w:left="-630" w:right="-720"/>
        <w:rPr>
          <w:rFonts w:eastAsia="Arial" w:cs="Arial"/>
          <w:iCs/>
          <w:color w:val="000000"/>
          <w:sz w:val="22"/>
          <w:szCs w:val="22"/>
        </w:rPr>
      </w:pPr>
      <w:r w:rsidRPr="00F22391">
        <w:rPr>
          <w:rFonts w:eastAsia="Arial" w:cs="Arial"/>
          <w:iCs/>
          <w:color w:val="000000"/>
          <w:sz w:val="22"/>
          <w:szCs w:val="22"/>
        </w:rPr>
        <w:t xml:space="preserve">The CCDCBS intake and assessment process would provide data that could help determine what services are necessary; and the monitoring system would make connections to the technical professions, while maintaining the list of participating professional architects, engineers, planners, developers, etc.  </w:t>
      </w:r>
    </w:p>
    <w:p w:rsidR="005737EF" w:rsidRPr="00F22391" w:rsidRDefault="005737EF" w:rsidP="004B420B">
      <w:pPr>
        <w:ind w:left="-630" w:right="-720"/>
        <w:rPr>
          <w:rFonts w:eastAsia="Arial" w:cs="Arial"/>
          <w:iCs/>
          <w:color w:val="000000"/>
          <w:sz w:val="22"/>
          <w:szCs w:val="22"/>
        </w:rPr>
      </w:pPr>
    </w:p>
    <w:p w:rsidR="005737EF" w:rsidRPr="00F22391" w:rsidRDefault="005737EF" w:rsidP="004B420B">
      <w:pPr>
        <w:ind w:left="-630" w:right="-720"/>
        <w:rPr>
          <w:rFonts w:eastAsia="Arial" w:cs="Arial"/>
          <w:i/>
          <w:iCs/>
          <w:color w:val="000000"/>
          <w:sz w:val="22"/>
          <w:szCs w:val="22"/>
        </w:rPr>
      </w:pPr>
      <w:r w:rsidRPr="00F22391">
        <w:rPr>
          <w:rFonts w:eastAsia="Arial" w:cs="Arial"/>
          <w:i/>
          <w:iCs/>
          <w:color w:val="000000"/>
          <w:sz w:val="22"/>
          <w:szCs w:val="22"/>
        </w:rPr>
        <w:t>Voucher System</w:t>
      </w:r>
    </w:p>
    <w:p w:rsidR="005737EF" w:rsidRPr="00F22391" w:rsidRDefault="005737EF" w:rsidP="004B420B">
      <w:pPr>
        <w:ind w:left="-630" w:right="-720"/>
        <w:rPr>
          <w:rFonts w:cs="Adobe Garamond Pro"/>
          <w:color w:val="000000"/>
          <w:sz w:val="22"/>
          <w:szCs w:val="22"/>
        </w:rPr>
      </w:pPr>
      <w:r w:rsidRPr="00F22391">
        <w:rPr>
          <w:rFonts w:cs="Adobe Garamond Pro"/>
          <w:color w:val="000000"/>
          <w:sz w:val="22"/>
          <w:szCs w:val="22"/>
        </w:rPr>
        <w:t xml:space="preserve">A hybrid approach “voucher” system could also be added to the system.  A pre-determined amount of funding for services would come from a pool of funding provided through philanthropy and public </w:t>
      </w:r>
      <w:proofErr w:type="gramStart"/>
      <w:r w:rsidRPr="00F22391">
        <w:rPr>
          <w:rFonts w:cs="Adobe Garamond Pro"/>
          <w:color w:val="000000"/>
          <w:sz w:val="22"/>
          <w:szCs w:val="22"/>
        </w:rPr>
        <w:t>allocations, and</w:t>
      </w:r>
      <w:proofErr w:type="gramEnd"/>
      <w:r w:rsidRPr="00F22391">
        <w:rPr>
          <w:rFonts w:cs="Adobe Garamond Pro"/>
          <w:color w:val="000000"/>
          <w:sz w:val="22"/>
          <w:szCs w:val="22"/>
        </w:rPr>
        <w:t xml:space="preserve"> be made available to the client organization in the form of a “voucher,” based on agreed-on standards and criteria. </w:t>
      </w:r>
    </w:p>
    <w:p w:rsidR="005737EF" w:rsidRDefault="005737EF" w:rsidP="004B420B">
      <w:pPr>
        <w:ind w:left="-630" w:right="-720"/>
        <w:rPr>
          <w:rFonts w:eastAsia="Arial" w:cs="Arial"/>
          <w:iCs/>
          <w:color w:val="000000"/>
        </w:rPr>
      </w:pPr>
    </w:p>
    <w:p w:rsidR="005737EF" w:rsidRPr="00F22391" w:rsidRDefault="005737EF" w:rsidP="004B420B">
      <w:pPr>
        <w:ind w:left="-630" w:right="-720"/>
        <w:rPr>
          <w:sz w:val="22"/>
          <w:szCs w:val="22"/>
        </w:rPr>
      </w:pPr>
      <w:r w:rsidRPr="00F22391">
        <w:rPr>
          <w:sz w:val="22"/>
          <w:szCs w:val="22"/>
        </w:rPr>
        <w:t>Some voucher examples can be found in the small business community and include:</w:t>
      </w:r>
    </w:p>
    <w:p w:rsidR="005737EF" w:rsidRPr="00F22391" w:rsidRDefault="005737EF" w:rsidP="004B420B">
      <w:pPr>
        <w:numPr>
          <w:ilvl w:val="0"/>
          <w:numId w:val="11"/>
        </w:numPr>
        <w:ind w:left="-630" w:right="-720"/>
        <w:rPr>
          <w:sz w:val="22"/>
          <w:szCs w:val="22"/>
        </w:rPr>
      </w:pPr>
      <w:r w:rsidRPr="00F22391">
        <w:rPr>
          <w:rFonts w:eastAsia="Times New Roman"/>
          <w:color w:val="000000"/>
          <w:sz w:val="22"/>
          <w:szCs w:val="22"/>
        </w:rPr>
        <w:t>Voucher for Technical Assistance (VTA) program run by the Development Bank of Jamaica</w:t>
      </w:r>
      <w:r w:rsidRPr="00F22391">
        <w:rPr>
          <w:rStyle w:val="EndnoteReference"/>
          <w:rFonts w:eastAsia="Times New Roman"/>
          <w:color w:val="000000"/>
          <w:sz w:val="22"/>
          <w:szCs w:val="22"/>
        </w:rPr>
        <w:endnoteReference w:id="3"/>
      </w:r>
      <w:r w:rsidRPr="00F22391">
        <w:rPr>
          <w:rFonts w:eastAsia="Times New Roman"/>
          <w:color w:val="000000"/>
          <w:sz w:val="22"/>
          <w:szCs w:val="22"/>
        </w:rPr>
        <w:t>.</w:t>
      </w:r>
      <w:r w:rsidRPr="00F22391">
        <w:rPr>
          <w:sz w:val="22"/>
          <w:szCs w:val="22"/>
        </w:rPr>
        <w:t xml:space="preserve">  In this program, </w:t>
      </w:r>
      <w:r w:rsidRPr="00F22391">
        <w:rPr>
          <w:rFonts w:eastAsia="Times New Roman"/>
          <w:color w:val="000000"/>
          <w:sz w:val="22"/>
          <w:szCs w:val="22"/>
        </w:rPr>
        <w:t>small businesses receive “vouchers in various denominations to be used to access </w:t>
      </w:r>
      <w:r w:rsidRPr="00F22391">
        <w:rPr>
          <w:rFonts w:eastAsia="Times New Roman"/>
          <w:bCs/>
          <w:color w:val="000000"/>
          <w:sz w:val="22"/>
          <w:szCs w:val="22"/>
        </w:rPr>
        <w:t>business support services</w:t>
      </w:r>
      <w:r w:rsidRPr="00F22391">
        <w:rPr>
          <w:rFonts w:eastAsia="Times New Roman"/>
          <w:color w:val="000000"/>
          <w:sz w:val="22"/>
          <w:szCs w:val="22"/>
        </w:rPr>
        <w:t> provided by accredited </w:t>
      </w:r>
      <w:r w:rsidRPr="00F22391">
        <w:rPr>
          <w:rFonts w:eastAsia="Times New Roman"/>
          <w:bCs/>
          <w:color w:val="000000"/>
          <w:sz w:val="22"/>
          <w:szCs w:val="22"/>
        </w:rPr>
        <w:t>Business Development Organizations”</w:t>
      </w:r>
      <w:r w:rsidRPr="00F22391">
        <w:rPr>
          <w:rFonts w:eastAsia="Times New Roman"/>
          <w:color w:val="000000"/>
          <w:sz w:val="22"/>
          <w:szCs w:val="22"/>
        </w:rPr>
        <w:t>.</w:t>
      </w:r>
      <w:r w:rsidR="004B420B">
        <w:rPr>
          <w:rFonts w:eastAsia="Times New Roman"/>
          <w:color w:val="000000"/>
          <w:sz w:val="22"/>
          <w:szCs w:val="22"/>
        </w:rPr>
        <w:br/>
      </w:r>
      <w:r w:rsidR="004B420B">
        <w:rPr>
          <w:rFonts w:eastAsia="Times New Roman"/>
          <w:color w:val="000000"/>
          <w:sz w:val="22"/>
          <w:szCs w:val="22"/>
        </w:rPr>
        <w:br/>
      </w:r>
    </w:p>
    <w:p w:rsidR="005737EF" w:rsidRPr="004B420B" w:rsidRDefault="005737EF" w:rsidP="004B420B">
      <w:pPr>
        <w:numPr>
          <w:ilvl w:val="0"/>
          <w:numId w:val="11"/>
        </w:numPr>
        <w:ind w:left="-630" w:right="-720"/>
        <w:rPr>
          <w:sz w:val="22"/>
          <w:szCs w:val="22"/>
        </w:rPr>
      </w:pPr>
      <w:r w:rsidRPr="004B420B">
        <w:rPr>
          <w:rFonts w:eastAsia="Times New Roman"/>
          <w:color w:val="000000"/>
          <w:sz w:val="22"/>
          <w:szCs w:val="22"/>
        </w:rPr>
        <w:lastRenderedPageBreak/>
        <w:t xml:space="preserve">The Institute for Capitalizing on Creativity at the </w:t>
      </w:r>
      <w:r w:rsidRPr="004B420B">
        <w:rPr>
          <w:sz w:val="22"/>
          <w:szCs w:val="22"/>
        </w:rPr>
        <w:t>University of St. Andrews, UK offers vouchers up to $3,000 for small to medium creative enterprises in need of management solutions. The caveat is that participants must purchase their support from ICC consortium researchers.</w:t>
      </w:r>
    </w:p>
    <w:p w:rsidR="005737EF" w:rsidRPr="00F22391" w:rsidRDefault="005737EF" w:rsidP="004B420B">
      <w:pPr>
        <w:ind w:left="-630" w:right="-720"/>
        <w:rPr>
          <w:rFonts w:cs="Adobe Garamond Pro"/>
          <w:color w:val="000000"/>
          <w:sz w:val="22"/>
          <w:szCs w:val="22"/>
        </w:rPr>
      </w:pPr>
    </w:p>
    <w:p w:rsidR="005737EF" w:rsidRPr="00F22391" w:rsidRDefault="005737EF" w:rsidP="004B420B">
      <w:pPr>
        <w:ind w:left="-630" w:right="-720"/>
        <w:rPr>
          <w:rFonts w:cs="Adobe Garamond Pro"/>
          <w:color w:val="000000"/>
          <w:sz w:val="22"/>
          <w:szCs w:val="22"/>
        </w:rPr>
      </w:pPr>
      <w:r w:rsidRPr="00F22391">
        <w:rPr>
          <w:rFonts w:cs="Adobe Garamond Pro"/>
          <w:color w:val="000000"/>
          <w:sz w:val="22"/>
          <w:szCs w:val="22"/>
        </w:rPr>
        <w:t>With the voucher system, instead of the funder or intermediary deciding who the service provider is, or what the services should consist of, a set of guidelines and parameters would be in place to indicate types and uses of funds; but the client organization would ultimately choose how to use those funds for capacity building within those guidelines. This capacity building voucher concept accomplishes three important elements:</w:t>
      </w:r>
    </w:p>
    <w:p w:rsidR="005737EF" w:rsidRPr="00F22391" w:rsidRDefault="005737EF" w:rsidP="004B420B">
      <w:pPr>
        <w:numPr>
          <w:ilvl w:val="0"/>
          <w:numId w:val="12"/>
        </w:numPr>
        <w:ind w:left="-630" w:right="-720"/>
        <w:rPr>
          <w:rFonts w:cs="Adobe Garamond Pro"/>
          <w:color w:val="000000"/>
          <w:sz w:val="22"/>
          <w:szCs w:val="22"/>
        </w:rPr>
      </w:pPr>
      <w:r w:rsidRPr="00F22391">
        <w:rPr>
          <w:rFonts w:cs="Adobe Garamond Pro"/>
          <w:color w:val="000000"/>
          <w:sz w:val="22"/>
          <w:szCs w:val="22"/>
        </w:rPr>
        <w:t xml:space="preserve">Gives the client organization more control over the services (thereby building the CDOs capacity to manage the consultant),  </w:t>
      </w:r>
    </w:p>
    <w:p w:rsidR="005737EF" w:rsidRPr="00F22391" w:rsidRDefault="005737EF" w:rsidP="004B420B">
      <w:pPr>
        <w:numPr>
          <w:ilvl w:val="0"/>
          <w:numId w:val="12"/>
        </w:numPr>
        <w:ind w:left="-630" w:right="-720"/>
        <w:rPr>
          <w:sz w:val="22"/>
          <w:szCs w:val="22"/>
        </w:rPr>
      </w:pPr>
      <w:r w:rsidRPr="00F22391">
        <w:rPr>
          <w:rFonts w:cs="Adobe Garamond Pro"/>
          <w:color w:val="000000"/>
          <w:sz w:val="22"/>
          <w:szCs w:val="22"/>
        </w:rPr>
        <w:t xml:space="preserve">Provides </w:t>
      </w:r>
      <w:r w:rsidRPr="00F22391">
        <w:rPr>
          <w:sz w:val="22"/>
          <w:szCs w:val="22"/>
        </w:rPr>
        <w:t xml:space="preserve">straight-line accountability between the TA provider and the client organization so a genuine TA partnership can emerge, </w:t>
      </w:r>
    </w:p>
    <w:p w:rsidR="005737EF" w:rsidRPr="00F22391" w:rsidRDefault="005737EF" w:rsidP="004B420B">
      <w:pPr>
        <w:numPr>
          <w:ilvl w:val="0"/>
          <w:numId w:val="12"/>
        </w:numPr>
        <w:ind w:left="-630" w:right="-720"/>
        <w:rPr>
          <w:sz w:val="22"/>
          <w:szCs w:val="22"/>
        </w:rPr>
      </w:pPr>
      <w:r w:rsidRPr="00F22391">
        <w:rPr>
          <w:sz w:val="22"/>
          <w:szCs w:val="22"/>
        </w:rPr>
        <w:t xml:space="preserve">Gives the TA Providers more options for which CDOs and GROs they can offer their services to, and </w:t>
      </w:r>
    </w:p>
    <w:p w:rsidR="005737EF" w:rsidRPr="00F22391" w:rsidRDefault="005737EF" w:rsidP="004B420B">
      <w:pPr>
        <w:numPr>
          <w:ilvl w:val="0"/>
          <w:numId w:val="12"/>
        </w:numPr>
        <w:ind w:left="-630" w:right="-720"/>
        <w:rPr>
          <w:sz w:val="22"/>
          <w:szCs w:val="22"/>
        </w:rPr>
      </w:pPr>
      <w:r w:rsidRPr="00F22391">
        <w:rPr>
          <w:sz w:val="22"/>
          <w:szCs w:val="22"/>
        </w:rPr>
        <w:t xml:space="preserve">Assures that the TA provider receives payment for services. </w:t>
      </w:r>
    </w:p>
    <w:p w:rsidR="005737EF" w:rsidRPr="00F22391" w:rsidRDefault="005737EF" w:rsidP="004B420B">
      <w:pPr>
        <w:ind w:left="-630" w:right="-720"/>
        <w:rPr>
          <w:sz w:val="22"/>
          <w:szCs w:val="22"/>
        </w:rPr>
      </w:pPr>
    </w:p>
    <w:p w:rsidR="005737EF" w:rsidRPr="00F22391" w:rsidRDefault="005737EF" w:rsidP="004B420B">
      <w:pPr>
        <w:ind w:left="-630" w:right="-720"/>
        <w:rPr>
          <w:rFonts w:eastAsia="Arial" w:cs="Arial"/>
          <w:i/>
          <w:iCs/>
          <w:color w:val="000000"/>
          <w:sz w:val="22"/>
          <w:szCs w:val="22"/>
        </w:rPr>
      </w:pPr>
      <w:r w:rsidRPr="00F22391">
        <w:rPr>
          <w:rFonts w:eastAsia="Arial" w:cs="Arial"/>
          <w:i/>
          <w:iCs/>
          <w:color w:val="000000"/>
          <w:sz w:val="22"/>
          <w:szCs w:val="22"/>
        </w:rPr>
        <w:t>Open Market Fees</w:t>
      </w:r>
    </w:p>
    <w:p w:rsidR="005737EF" w:rsidRPr="00F22391" w:rsidRDefault="005737EF" w:rsidP="004B420B">
      <w:pPr>
        <w:ind w:left="-630" w:right="-720"/>
        <w:rPr>
          <w:rFonts w:eastAsia="Arial" w:cs="Arial"/>
          <w:iCs/>
          <w:color w:val="000000"/>
          <w:sz w:val="22"/>
          <w:szCs w:val="22"/>
        </w:rPr>
      </w:pPr>
      <w:r w:rsidRPr="00F22391">
        <w:rPr>
          <w:rFonts w:eastAsia="Arial" w:cs="Arial"/>
          <w:iCs/>
          <w:color w:val="000000"/>
          <w:sz w:val="22"/>
          <w:szCs w:val="22"/>
        </w:rPr>
        <w:t>Client Organizations can pay open market fees and directly connect, through the CCDCBS function, with technical assistance professionals that have been pre-vetted and monitored for quality control. These service providers could be provided on a list along with a rating feedback system.</w:t>
      </w:r>
    </w:p>
    <w:p w:rsidR="005737EF" w:rsidRDefault="005737EF" w:rsidP="004B420B">
      <w:pPr>
        <w:ind w:left="-630" w:right="-720"/>
        <w:rPr>
          <w:rFonts w:cs="Arial"/>
          <w:b/>
          <w:color w:val="000000"/>
        </w:rPr>
      </w:pPr>
    </w:p>
    <w:p w:rsidR="005737EF" w:rsidRPr="005C264E" w:rsidRDefault="005737EF" w:rsidP="004B420B">
      <w:pPr>
        <w:ind w:left="-630" w:right="-720"/>
        <w:rPr>
          <w:rFonts w:cs="Arial"/>
          <w:b/>
          <w:color w:val="000000"/>
        </w:rPr>
      </w:pPr>
      <w:r w:rsidRPr="005C264E">
        <w:rPr>
          <w:rFonts w:cs="Arial"/>
          <w:b/>
          <w:color w:val="000000"/>
        </w:rPr>
        <w:t>Next Steps</w:t>
      </w:r>
      <w:r>
        <w:rPr>
          <w:rFonts w:cs="Arial"/>
          <w:b/>
          <w:color w:val="000000"/>
        </w:rPr>
        <w:t xml:space="preserve"> </w:t>
      </w:r>
    </w:p>
    <w:p w:rsidR="005737EF" w:rsidRPr="00F22391" w:rsidRDefault="005737EF" w:rsidP="004B420B">
      <w:pPr>
        <w:numPr>
          <w:ilvl w:val="0"/>
          <w:numId w:val="1"/>
        </w:numPr>
        <w:ind w:left="-630" w:right="-720"/>
        <w:rPr>
          <w:rFonts w:cs="Arial"/>
          <w:b/>
          <w:color w:val="000000"/>
          <w:sz w:val="22"/>
          <w:szCs w:val="22"/>
        </w:rPr>
      </w:pPr>
      <w:r w:rsidRPr="00F22391">
        <w:rPr>
          <w:rFonts w:cs="Arial"/>
          <w:b/>
          <w:color w:val="000000"/>
          <w:sz w:val="22"/>
          <w:szCs w:val="22"/>
        </w:rPr>
        <w:t>Input and refinement of the concept through the BECDD process</w:t>
      </w:r>
    </w:p>
    <w:p w:rsidR="005737EF" w:rsidRPr="00F22391" w:rsidRDefault="005737EF" w:rsidP="004B420B">
      <w:pPr>
        <w:ind w:left="-630" w:right="-720"/>
        <w:rPr>
          <w:rFonts w:cs="Arial"/>
          <w:color w:val="000000"/>
          <w:sz w:val="22"/>
          <w:szCs w:val="22"/>
        </w:rPr>
      </w:pPr>
      <w:r w:rsidRPr="00F22391">
        <w:rPr>
          <w:rFonts w:cs="Arial"/>
          <w:color w:val="000000"/>
          <w:sz w:val="22"/>
          <w:szCs w:val="22"/>
        </w:rPr>
        <w:t xml:space="preserve">The BECDD Intermediary </w:t>
      </w:r>
      <w:proofErr w:type="spellStart"/>
      <w:r w:rsidRPr="00F22391">
        <w:rPr>
          <w:rFonts w:cs="Arial"/>
          <w:color w:val="000000"/>
          <w:sz w:val="22"/>
          <w:szCs w:val="22"/>
        </w:rPr>
        <w:t>SystemTask</w:t>
      </w:r>
      <w:proofErr w:type="spellEnd"/>
      <w:r w:rsidRPr="00F22391">
        <w:rPr>
          <w:rFonts w:cs="Arial"/>
          <w:color w:val="000000"/>
          <w:sz w:val="22"/>
          <w:szCs w:val="22"/>
        </w:rPr>
        <w:t xml:space="preserve"> Force recommends this concept for further development and </w:t>
      </w:r>
      <w:proofErr w:type="gramStart"/>
      <w:r w:rsidRPr="00F22391">
        <w:rPr>
          <w:rFonts w:cs="Arial"/>
          <w:color w:val="000000"/>
          <w:sz w:val="22"/>
          <w:szCs w:val="22"/>
        </w:rPr>
        <w:t>implementation, and</w:t>
      </w:r>
      <w:proofErr w:type="gramEnd"/>
      <w:r w:rsidRPr="00F22391">
        <w:rPr>
          <w:rFonts w:cs="Arial"/>
          <w:color w:val="000000"/>
          <w:sz w:val="22"/>
          <w:szCs w:val="22"/>
        </w:rPr>
        <w:t xml:space="preserve"> seeks feedback from the BECDD Summit in December 2018.</w:t>
      </w:r>
    </w:p>
    <w:p w:rsidR="005737EF" w:rsidRPr="00F22391" w:rsidRDefault="005737EF" w:rsidP="004B420B">
      <w:pPr>
        <w:numPr>
          <w:ilvl w:val="0"/>
          <w:numId w:val="1"/>
        </w:numPr>
        <w:ind w:left="-630" w:right="-720"/>
        <w:rPr>
          <w:rFonts w:cs="Arial"/>
          <w:b/>
          <w:color w:val="000000"/>
          <w:sz w:val="22"/>
          <w:szCs w:val="22"/>
        </w:rPr>
      </w:pPr>
      <w:r w:rsidRPr="00F22391">
        <w:rPr>
          <w:rFonts w:cs="Arial"/>
          <w:b/>
          <w:color w:val="000000"/>
          <w:sz w:val="22"/>
          <w:szCs w:val="22"/>
        </w:rPr>
        <w:t>Interim agreements and a system to meet immediate CDO capacity needs.</w:t>
      </w:r>
    </w:p>
    <w:p w:rsidR="005737EF" w:rsidRPr="00F22391" w:rsidRDefault="005737EF" w:rsidP="004B420B">
      <w:pPr>
        <w:ind w:left="-630" w:right="-720"/>
        <w:rPr>
          <w:rFonts w:cs="Arial"/>
          <w:color w:val="000000"/>
          <w:sz w:val="22"/>
          <w:szCs w:val="22"/>
        </w:rPr>
      </w:pPr>
      <w:r w:rsidRPr="00F22391">
        <w:rPr>
          <w:rFonts w:cs="Arial"/>
          <w:color w:val="000000"/>
          <w:sz w:val="22"/>
          <w:szCs w:val="22"/>
        </w:rPr>
        <w:t>The BECDD Intermediary System Task Force could facilitate agreements among various TA providers to understand and then find ways to meet, more immediate CDO capacity needs while the rests of the element</w:t>
      </w:r>
      <w:r>
        <w:rPr>
          <w:rFonts w:cs="Arial"/>
          <w:color w:val="000000"/>
          <w:sz w:val="22"/>
          <w:szCs w:val="22"/>
        </w:rPr>
        <w:t>s of CCDCBS is being developed.</w:t>
      </w:r>
    </w:p>
    <w:p w:rsidR="005737EF" w:rsidRPr="00F22391" w:rsidRDefault="005737EF" w:rsidP="004B420B">
      <w:pPr>
        <w:numPr>
          <w:ilvl w:val="0"/>
          <w:numId w:val="1"/>
        </w:numPr>
        <w:ind w:left="-630" w:right="-720"/>
        <w:rPr>
          <w:rFonts w:cs="Arial"/>
          <w:b/>
          <w:color w:val="000000"/>
          <w:sz w:val="22"/>
          <w:szCs w:val="22"/>
        </w:rPr>
      </w:pPr>
      <w:r w:rsidRPr="00F22391">
        <w:rPr>
          <w:rFonts w:cs="Arial"/>
          <w:b/>
          <w:color w:val="000000"/>
          <w:sz w:val="22"/>
          <w:szCs w:val="22"/>
        </w:rPr>
        <w:t>“CCDCBS Champion” facilitates planning and development of the function</w:t>
      </w:r>
    </w:p>
    <w:p w:rsidR="005737EF" w:rsidRPr="00F22391" w:rsidRDefault="005737EF" w:rsidP="004B420B">
      <w:pPr>
        <w:ind w:left="-630" w:right="-720"/>
        <w:rPr>
          <w:rFonts w:cs="Arial"/>
          <w:color w:val="000000"/>
          <w:sz w:val="22"/>
          <w:szCs w:val="22"/>
        </w:rPr>
      </w:pPr>
      <w:r w:rsidRPr="00F22391">
        <w:rPr>
          <w:rFonts w:cs="Arial"/>
          <w:color w:val="000000"/>
          <w:sz w:val="22"/>
          <w:szCs w:val="22"/>
        </w:rPr>
        <w:t>With support of an Advisory Group, a stakeholder is needed to facilitate the remaining next steps throughout 2019 with organizational partners, with a goal of helping to launch implementation before 2020.  Basic criteria that the CCDCBS champion could meet include:</w:t>
      </w:r>
    </w:p>
    <w:p w:rsidR="005737EF" w:rsidRPr="00F22391" w:rsidRDefault="005737EF" w:rsidP="004B420B">
      <w:pPr>
        <w:numPr>
          <w:ilvl w:val="0"/>
          <w:numId w:val="2"/>
        </w:numPr>
        <w:ind w:left="-630" w:right="-720"/>
        <w:rPr>
          <w:rFonts w:cs="Arial"/>
          <w:color w:val="000000"/>
          <w:sz w:val="22"/>
          <w:szCs w:val="22"/>
        </w:rPr>
      </w:pPr>
      <w:r w:rsidRPr="00F22391">
        <w:rPr>
          <w:rFonts w:cs="Arial"/>
          <w:color w:val="000000"/>
          <w:sz w:val="22"/>
          <w:szCs w:val="22"/>
        </w:rPr>
        <w:t>Experience – both with basic nonprofit organizational capacity-building and with community development capacity building,</w:t>
      </w:r>
    </w:p>
    <w:p w:rsidR="005737EF" w:rsidRPr="00F22391" w:rsidRDefault="005737EF" w:rsidP="004B420B">
      <w:pPr>
        <w:numPr>
          <w:ilvl w:val="0"/>
          <w:numId w:val="2"/>
        </w:numPr>
        <w:ind w:left="-630" w:right="-720"/>
        <w:rPr>
          <w:rFonts w:cs="Arial"/>
          <w:color w:val="000000"/>
          <w:sz w:val="22"/>
          <w:szCs w:val="22"/>
        </w:rPr>
      </w:pPr>
      <w:r w:rsidRPr="00F22391">
        <w:rPr>
          <w:rFonts w:cs="Arial"/>
          <w:color w:val="000000"/>
          <w:sz w:val="22"/>
          <w:szCs w:val="22"/>
        </w:rPr>
        <w:t xml:space="preserve">Capacity – current capacity and or demonstrated past abilities to generate and sustain the staffing and funding expected for </w:t>
      </w:r>
      <w:proofErr w:type="gramStart"/>
      <w:r w:rsidRPr="00F22391">
        <w:rPr>
          <w:rFonts w:cs="Arial"/>
          <w:color w:val="000000"/>
          <w:sz w:val="22"/>
          <w:szCs w:val="22"/>
        </w:rPr>
        <w:t>the  services</w:t>
      </w:r>
      <w:proofErr w:type="gramEnd"/>
      <w:r w:rsidRPr="00F22391">
        <w:rPr>
          <w:rFonts w:cs="Arial"/>
          <w:color w:val="000000"/>
          <w:sz w:val="22"/>
          <w:szCs w:val="22"/>
        </w:rPr>
        <w:t>,</w:t>
      </w:r>
    </w:p>
    <w:p w:rsidR="005737EF" w:rsidRPr="00F22391" w:rsidRDefault="005737EF" w:rsidP="004B420B">
      <w:pPr>
        <w:numPr>
          <w:ilvl w:val="0"/>
          <w:numId w:val="2"/>
        </w:numPr>
        <w:ind w:left="-630" w:right="-720"/>
        <w:rPr>
          <w:rFonts w:cs="Arial"/>
          <w:color w:val="000000"/>
          <w:sz w:val="22"/>
          <w:szCs w:val="22"/>
        </w:rPr>
      </w:pPr>
      <w:r w:rsidRPr="00F22391">
        <w:rPr>
          <w:rFonts w:cs="Arial"/>
          <w:color w:val="000000"/>
          <w:sz w:val="22"/>
          <w:szCs w:val="22"/>
        </w:rPr>
        <w:t>Adaptive Management – development ecosystem as well as balance its responsiveness to the Governance Board and system-wide stakeholders while maintaining accountability to its own Board of Directors,</w:t>
      </w:r>
    </w:p>
    <w:p w:rsidR="005737EF" w:rsidRDefault="005737EF" w:rsidP="004B420B">
      <w:pPr>
        <w:ind w:left="-630" w:right="-720"/>
        <w:rPr>
          <w:rFonts w:eastAsia="Arial" w:cs="Arial"/>
          <w:iCs/>
          <w:color w:val="000000"/>
        </w:rPr>
      </w:pPr>
    </w:p>
    <w:p w:rsidR="005737EF" w:rsidRDefault="005737EF" w:rsidP="004B420B">
      <w:pPr>
        <w:ind w:left="-630" w:right="-720"/>
        <w:rPr>
          <w:rFonts w:eastAsia="Arial" w:cs="Arial"/>
          <w:iCs/>
          <w:color w:val="000000"/>
        </w:rPr>
      </w:pPr>
    </w:p>
    <w:p w:rsidR="005737EF" w:rsidRPr="005737EF" w:rsidRDefault="005737EF" w:rsidP="004B420B">
      <w:pPr>
        <w:numPr>
          <w:ilvl w:val="0"/>
          <w:numId w:val="2"/>
        </w:numPr>
        <w:ind w:left="-630" w:right="-720"/>
        <w:rPr>
          <w:rFonts w:cs="Arial"/>
          <w:color w:val="000000"/>
          <w:sz w:val="22"/>
          <w:szCs w:val="22"/>
        </w:rPr>
      </w:pPr>
      <w:r w:rsidRPr="00F22391">
        <w:rPr>
          <w:rFonts w:cs="Arial"/>
          <w:color w:val="000000"/>
          <w:sz w:val="22"/>
          <w:szCs w:val="22"/>
        </w:rPr>
        <w:lastRenderedPageBreak/>
        <w:t>Trust of Partners – a foundation of trust with community development organizations, funders, and the City would be ideal.</w:t>
      </w:r>
    </w:p>
    <w:p w:rsidR="005737EF" w:rsidRDefault="005737EF" w:rsidP="004B420B">
      <w:pPr>
        <w:ind w:left="-630" w:right="-720"/>
        <w:rPr>
          <w:rFonts w:cs="Arial"/>
          <w:color w:val="000000"/>
          <w:sz w:val="22"/>
          <w:szCs w:val="22"/>
        </w:rPr>
      </w:pPr>
    </w:p>
    <w:p w:rsidR="005737EF" w:rsidRPr="005737EF" w:rsidRDefault="005737EF" w:rsidP="004B420B">
      <w:pPr>
        <w:ind w:left="-630" w:right="-720"/>
        <w:rPr>
          <w:rFonts w:cs="Arial"/>
          <w:b/>
          <w:color w:val="000000"/>
          <w:sz w:val="22"/>
          <w:szCs w:val="22"/>
        </w:rPr>
      </w:pPr>
      <w:r w:rsidRPr="005737EF">
        <w:rPr>
          <w:rFonts w:cs="Arial"/>
          <w:b/>
          <w:color w:val="000000"/>
          <w:sz w:val="22"/>
          <w:szCs w:val="22"/>
        </w:rPr>
        <w:t>The expectation is that in the first quarter of 2019, the BECDD Advisory Council will invite organization(s), based on agreed-on criteria and this concept framework, to step forward and agree to “champion” the next steps.  Those next steps are:</w:t>
      </w:r>
    </w:p>
    <w:p w:rsidR="005737EF" w:rsidRPr="00F22391" w:rsidRDefault="005737EF" w:rsidP="004B420B">
      <w:pPr>
        <w:ind w:left="-630" w:right="-720"/>
        <w:rPr>
          <w:rFonts w:cs="Arial"/>
          <w:b/>
          <w:color w:val="000000"/>
          <w:sz w:val="22"/>
          <w:szCs w:val="22"/>
        </w:rPr>
      </w:pPr>
    </w:p>
    <w:p w:rsidR="005737EF" w:rsidRPr="000C490E" w:rsidRDefault="005737EF" w:rsidP="004B420B">
      <w:pPr>
        <w:numPr>
          <w:ilvl w:val="1"/>
          <w:numId w:val="1"/>
        </w:numPr>
        <w:ind w:left="-630" w:right="-720"/>
        <w:rPr>
          <w:rFonts w:cs="Arial"/>
          <w:b/>
          <w:color w:val="000000"/>
        </w:rPr>
      </w:pPr>
      <w:r w:rsidRPr="000C490E">
        <w:rPr>
          <w:rFonts w:cs="Arial"/>
          <w:b/>
          <w:color w:val="000000"/>
        </w:rPr>
        <w:t>Vetting service delivery models, timelines and budget</w:t>
      </w:r>
    </w:p>
    <w:p w:rsidR="005737EF" w:rsidRPr="00F22391" w:rsidRDefault="005737EF" w:rsidP="004B420B">
      <w:pPr>
        <w:shd w:val="clear" w:color="auto" w:fill="FFFFFF"/>
        <w:ind w:left="-630" w:right="-720"/>
        <w:rPr>
          <w:rFonts w:ascii="Segoe UI" w:eastAsia="Times New Roman" w:hAnsi="Segoe UI" w:cs="Segoe UI"/>
          <w:color w:val="212121"/>
          <w:sz w:val="22"/>
          <w:szCs w:val="22"/>
        </w:rPr>
      </w:pPr>
      <w:r w:rsidRPr="00F22391">
        <w:rPr>
          <w:rFonts w:eastAsia="Times New Roman" w:cs="Calibri"/>
          <w:color w:val="212121"/>
          <w:sz w:val="22"/>
          <w:szCs w:val="22"/>
        </w:rPr>
        <w:t>An analysis of at least the following potential “Clearinghouse” structures will be needed, with partner-stakeholders: </w:t>
      </w:r>
    </w:p>
    <w:p w:rsidR="005737EF" w:rsidRPr="00F22391" w:rsidRDefault="005737EF" w:rsidP="004B420B">
      <w:pPr>
        <w:numPr>
          <w:ilvl w:val="0"/>
          <w:numId w:val="3"/>
        </w:numPr>
        <w:shd w:val="clear" w:color="auto" w:fill="FFFFFF"/>
        <w:ind w:left="-630" w:right="-720"/>
        <w:rPr>
          <w:rFonts w:ascii="Segoe UI" w:eastAsia="Times New Roman" w:hAnsi="Segoe UI" w:cs="Segoe UI"/>
          <w:color w:val="212121"/>
          <w:sz w:val="22"/>
          <w:szCs w:val="22"/>
        </w:rPr>
      </w:pPr>
      <w:r w:rsidRPr="00F22391">
        <w:rPr>
          <w:rFonts w:eastAsia="Times New Roman" w:cs="Calibri"/>
          <w:color w:val="212121"/>
          <w:sz w:val="22"/>
          <w:szCs w:val="22"/>
        </w:rPr>
        <w:t>One LEAD organization providing services in-house</w:t>
      </w:r>
    </w:p>
    <w:p w:rsidR="005737EF" w:rsidRPr="00F22391" w:rsidRDefault="005737EF" w:rsidP="004B420B">
      <w:pPr>
        <w:numPr>
          <w:ilvl w:val="0"/>
          <w:numId w:val="3"/>
        </w:numPr>
        <w:shd w:val="clear" w:color="auto" w:fill="FFFFFF"/>
        <w:ind w:left="-630" w:right="-720"/>
        <w:rPr>
          <w:rFonts w:ascii="Segoe UI" w:eastAsia="Times New Roman" w:hAnsi="Segoe UI" w:cs="Segoe UI"/>
          <w:color w:val="212121"/>
          <w:sz w:val="22"/>
          <w:szCs w:val="22"/>
        </w:rPr>
      </w:pPr>
      <w:r w:rsidRPr="00F22391">
        <w:rPr>
          <w:rFonts w:eastAsia="Times New Roman" w:cs="Calibri"/>
          <w:color w:val="212121"/>
          <w:sz w:val="22"/>
          <w:szCs w:val="22"/>
        </w:rPr>
        <w:t>One LEAD organization coordinating/managing services with capacity building centers, individual organizations &amp; consultants.</w:t>
      </w:r>
    </w:p>
    <w:p w:rsidR="005737EF" w:rsidRPr="00F22391" w:rsidRDefault="005737EF" w:rsidP="004B420B">
      <w:pPr>
        <w:numPr>
          <w:ilvl w:val="0"/>
          <w:numId w:val="3"/>
        </w:numPr>
        <w:shd w:val="clear" w:color="auto" w:fill="FFFFFF"/>
        <w:ind w:left="-630" w:right="-720"/>
        <w:rPr>
          <w:rFonts w:ascii="Segoe UI" w:eastAsia="Times New Roman" w:hAnsi="Segoe UI" w:cs="Segoe UI"/>
          <w:color w:val="212121"/>
          <w:sz w:val="22"/>
          <w:szCs w:val="22"/>
        </w:rPr>
      </w:pPr>
      <w:r w:rsidRPr="00F22391">
        <w:rPr>
          <w:rFonts w:eastAsia="Times New Roman" w:cs="Calibri"/>
          <w:color w:val="212121"/>
          <w:sz w:val="22"/>
          <w:szCs w:val="22"/>
        </w:rPr>
        <w:t>Collaborative – A collective of organizations coordinating and providing services in-house and leveraging external partners.</w:t>
      </w:r>
    </w:p>
    <w:p w:rsidR="005737EF" w:rsidRPr="00F22391" w:rsidRDefault="005737EF" w:rsidP="004B420B">
      <w:pPr>
        <w:numPr>
          <w:ilvl w:val="0"/>
          <w:numId w:val="3"/>
        </w:numPr>
        <w:shd w:val="clear" w:color="auto" w:fill="FFFFFF"/>
        <w:ind w:left="-630" w:right="-720"/>
        <w:rPr>
          <w:rFonts w:ascii="Segoe UI" w:eastAsia="Times New Roman" w:hAnsi="Segoe UI" w:cs="Segoe UI"/>
          <w:color w:val="212121"/>
          <w:sz w:val="22"/>
          <w:szCs w:val="22"/>
        </w:rPr>
      </w:pPr>
      <w:r w:rsidRPr="00F22391">
        <w:rPr>
          <w:rFonts w:eastAsia="Times New Roman" w:cs="Calibri"/>
          <w:color w:val="212121"/>
          <w:sz w:val="22"/>
          <w:szCs w:val="22"/>
        </w:rPr>
        <w:t>Decentralized Services – Individual organizations, service providers and consultants self-selecting or bidding to provide discrete services defined by the needs of the CBO’s and GRO’s. (Note: The coordination of the selection/bidding process, quality control &amp; evaluation, could be led by ONE lead organization or a Collaborative body).</w:t>
      </w:r>
    </w:p>
    <w:p w:rsidR="005737EF" w:rsidRPr="00F22391" w:rsidRDefault="005737EF" w:rsidP="004B420B">
      <w:pPr>
        <w:shd w:val="clear" w:color="auto" w:fill="FFFFFF"/>
        <w:ind w:left="-630" w:right="-720"/>
        <w:rPr>
          <w:rFonts w:ascii="Segoe UI" w:eastAsia="Times New Roman" w:hAnsi="Segoe UI" w:cs="Segoe UI"/>
          <w:color w:val="212121"/>
          <w:sz w:val="22"/>
          <w:szCs w:val="22"/>
        </w:rPr>
      </w:pPr>
      <w:r w:rsidRPr="00F22391">
        <w:rPr>
          <w:rFonts w:eastAsia="Times New Roman" w:cs="Calibri"/>
          <w:bCs/>
          <w:color w:val="212121"/>
          <w:sz w:val="22"/>
          <w:szCs w:val="22"/>
        </w:rPr>
        <w:t xml:space="preserve">These </w:t>
      </w:r>
      <w:r w:rsidRPr="00F22391">
        <w:rPr>
          <w:rFonts w:eastAsia="Times New Roman" w:cs="Calibri"/>
          <w:color w:val="212121"/>
          <w:sz w:val="22"/>
          <w:szCs w:val="22"/>
        </w:rPr>
        <w:t>assumptions on the best structure will need to be tested with potential client organizations through surveys, focus groups and one-on-one discussions to an agreed upon service delivery model.</w:t>
      </w:r>
      <w:r w:rsidRPr="00F22391">
        <w:rPr>
          <w:rFonts w:ascii="Segoe UI" w:eastAsia="Times New Roman" w:hAnsi="Segoe UI" w:cs="Segoe UI"/>
          <w:color w:val="212121"/>
          <w:sz w:val="22"/>
          <w:szCs w:val="22"/>
        </w:rPr>
        <w:t xml:space="preserve">  </w:t>
      </w:r>
    </w:p>
    <w:p w:rsidR="005737EF" w:rsidRPr="00F22391" w:rsidRDefault="005737EF" w:rsidP="004B420B">
      <w:pPr>
        <w:ind w:left="-630" w:right="-720"/>
        <w:rPr>
          <w:rFonts w:cs="Arial"/>
          <w:color w:val="000000"/>
          <w:sz w:val="22"/>
          <w:szCs w:val="22"/>
        </w:rPr>
      </w:pPr>
    </w:p>
    <w:p w:rsidR="005737EF" w:rsidRPr="00F53830" w:rsidRDefault="005737EF" w:rsidP="004B420B">
      <w:pPr>
        <w:numPr>
          <w:ilvl w:val="1"/>
          <w:numId w:val="1"/>
        </w:numPr>
        <w:ind w:left="-630" w:right="-720"/>
        <w:rPr>
          <w:rFonts w:cs="Arial"/>
          <w:b/>
          <w:color w:val="000000"/>
        </w:rPr>
      </w:pPr>
      <w:r w:rsidRPr="00F53830">
        <w:rPr>
          <w:rFonts w:cs="Arial"/>
          <w:b/>
          <w:color w:val="000000"/>
        </w:rPr>
        <w:t>Vetting technical assistance (TA) service providers</w:t>
      </w:r>
    </w:p>
    <w:p w:rsidR="005737EF" w:rsidRPr="00F22391" w:rsidRDefault="005737EF" w:rsidP="004B420B">
      <w:pPr>
        <w:ind w:left="-630" w:right="-720"/>
        <w:rPr>
          <w:rFonts w:cs="Arial"/>
          <w:color w:val="000000"/>
          <w:sz w:val="22"/>
          <w:szCs w:val="22"/>
        </w:rPr>
      </w:pPr>
      <w:r w:rsidRPr="00F22391">
        <w:rPr>
          <w:rFonts w:cs="Arial"/>
          <w:color w:val="000000"/>
          <w:sz w:val="22"/>
          <w:szCs w:val="22"/>
        </w:rPr>
        <w:t xml:space="preserve">Criteria for selecting TA service providers needs to be developed. In part, this can be based on </w:t>
      </w:r>
      <w:r w:rsidRPr="00F22391">
        <w:rPr>
          <w:rFonts w:cs="Arial"/>
          <w:color w:val="222222"/>
          <w:sz w:val="22"/>
          <w:szCs w:val="22"/>
        </w:rPr>
        <w:t>CDO capacity building needs paired with an analysis of quality, community development experience, and rates. A next level of analysis could include a rating and review system form community development organizations to assess quality of service.</w:t>
      </w:r>
    </w:p>
    <w:p w:rsidR="005737EF" w:rsidRPr="00F53830" w:rsidRDefault="005737EF" w:rsidP="004B420B">
      <w:pPr>
        <w:ind w:left="-630" w:right="-720"/>
        <w:rPr>
          <w:rFonts w:cs="Arial"/>
          <w:color w:val="000000"/>
        </w:rPr>
      </w:pPr>
    </w:p>
    <w:p w:rsidR="005737EF" w:rsidRPr="00F53830" w:rsidRDefault="005737EF" w:rsidP="004B420B">
      <w:pPr>
        <w:numPr>
          <w:ilvl w:val="1"/>
          <w:numId w:val="1"/>
        </w:numPr>
        <w:ind w:left="-630" w:right="-720"/>
        <w:rPr>
          <w:rFonts w:eastAsia="Times New Roman" w:cs="Arial"/>
          <w:b/>
          <w:color w:val="222222"/>
        </w:rPr>
      </w:pPr>
      <w:r>
        <w:rPr>
          <w:rFonts w:eastAsia="Times New Roman" w:cs="Arial"/>
          <w:b/>
          <w:color w:val="222222"/>
        </w:rPr>
        <w:t>Creating an i</w:t>
      </w:r>
      <w:r w:rsidRPr="00F53830">
        <w:rPr>
          <w:rFonts w:eastAsia="Times New Roman" w:cs="Arial"/>
          <w:b/>
          <w:color w:val="222222"/>
        </w:rPr>
        <w:t xml:space="preserve">ntake and </w:t>
      </w:r>
      <w:r>
        <w:rPr>
          <w:rFonts w:eastAsia="Times New Roman" w:cs="Arial"/>
          <w:b/>
          <w:color w:val="222222"/>
        </w:rPr>
        <w:t>a</w:t>
      </w:r>
      <w:r w:rsidRPr="00F53830">
        <w:rPr>
          <w:rFonts w:eastAsia="Times New Roman" w:cs="Arial"/>
          <w:b/>
          <w:color w:val="222222"/>
        </w:rPr>
        <w:t>ssessment process</w:t>
      </w:r>
    </w:p>
    <w:p w:rsidR="005737EF" w:rsidRPr="00F22391" w:rsidRDefault="005737EF" w:rsidP="004B420B">
      <w:pPr>
        <w:ind w:left="-630" w:right="-720"/>
        <w:rPr>
          <w:rFonts w:eastAsia="Times New Roman" w:cs="Arial"/>
          <w:color w:val="222222"/>
          <w:sz w:val="22"/>
          <w:szCs w:val="22"/>
        </w:rPr>
      </w:pPr>
      <w:r w:rsidRPr="00F22391">
        <w:rPr>
          <w:rFonts w:eastAsia="Times New Roman" w:cs="Arial"/>
          <w:color w:val="222222"/>
          <w:sz w:val="22"/>
          <w:szCs w:val="22"/>
        </w:rPr>
        <w:t>Assessment tools for baseline nonprofit functions, and specific community development functions, will need to be developed.  A user-friendly intake process will have to be designed.  Both of these functions could be completed, ideally, in partnership with the Center for Nonprofit Support</w:t>
      </w:r>
    </w:p>
    <w:p w:rsidR="005737EF" w:rsidRPr="00F53830" w:rsidRDefault="005737EF" w:rsidP="004B420B">
      <w:pPr>
        <w:ind w:left="-630" w:right="-720"/>
        <w:rPr>
          <w:rFonts w:eastAsia="Times New Roman" w:cs="Arial"/>
          <w:b/>
          <w:color w:val="222222"/>
        </w:rPr>
      </w:pPr>
    </w:p>
    <w:p w:rsidR="005737EF" w:rsidRPr="00F53830" w:rsidRDefault="005737EF" w:rsidP="004B420B">
      <w:pPr>
        <w:numPr>
          <w:ilvl w:val="1"/>
          <w:numId w:val="1"/>
        </w:numPr>
        <w:ind w:left="-630" w:right="-720"/>
        <w:contextualSpacing/>
        <w:rPr>
          <w:rFonts w:eastAsia="Times New Roman" w:cs="Arial"/>
          <w:b/>
          <w:color w:val="222222"/>
        </w:rPr>
      </w:pPr>
      <w:r>
        <w:rPr>
          <w:rFonts w:eastAsia="Times New Roman" w:cs="Arial"/>
          <w:b/>
          <w:color w:val="222222"/>
        </w:rPr>
        <w:t xml:space="preserve">Designing </w:t>
      </w:r>
      <w:r w:rsidRPr="006338AD">
        <w:rPr>
          <w:rFonts w:eastAsia="Times New Roman" w:cs="Arial"/>
          <w:b/>
          <w:color w:val="222222"/>
        </w:rPr>
        <w:t>CDO</w:t>
      </w:r>
      <w:r w:rsidRPr="00F53830">
        <w:rPr>
          <w:rFonts w:eastAsia="Times New Roman" w:cs="Arial"/>
          <w:b/>
          <w:color w:val="222222"/>
        </w:rPr>
        <w:t xml:space="preserve"> </w:t>
      </w:r>
      <w:r>
        <w:rPr>
          <w:rFonts w:eastAsia="Times New Roman" w:cs="Arial"/>
          <w:b/>
          <w:color w:val="222222"/>
        </w:rPr>
        <w:t>p</w:t>
      </w:r>
      <w:r w:rsidRPr="00F53830">
        <w:rPr>
          <w:rFonts w:eastAsia="Times New Roman" w:cs="Arial"/>
          <w:b/>
          <w:color w:val="222222"/>
        </w:rPr>
        <w:t xml:space="preserve">erformance </w:t>
      </w:r>
      <w:r>
        <w:rPr>
          <w:rFonts w:eastAsia="Times New Roman" w:cs="Arial"/>
          <w:b/>
          <w:color w:val="222222"/>
        </w:rPr>
        <w:t>s</w:t>
      </w:r>
      <w:r w:rsidRPr="00F53830">
        <w:rPr>
          <w:rFonts w:eastAsia="Times New Roman" w:cs="Arial"/>
          <w:b/>
          <w:color w:val="222222"/>
        </w:rPr>
        <w:t xml:space="preserve">tandards and </w:t>
      </w:r>
      <w:r>
        <w:rPr>
          <w:rFonts w:eastAsia="Times New Roman" w:cs="Arial"/>
          <w:b/>
          <w:color w:val="222222"/>
        </w:rPr>
        <w:t>c</w:t>
      </w:r>
      <w:r w:rsidRPr="00F53830">
        <w:rPr>
          <w:rFonts w:eastAsia="Times New Roman" w:cs="Arial"/>
          <w:b/>
          <w:color w:val="222222"/>
        </w:rPr>
        <w:t>ertification</w:t>
      </w:r>
    </w:p>
    <w:p w:rsidR="005737EF" w:rsidRPr="00F22391" w:rsidRDefault="005737EF" w:rsidP="004B420B">
      <w:pPr>
        <w:ind w:left="-630" w:right="-720"/>
        <w:rPr>
          <w:rFonts w:eastAsia="Times New Roman" w:cs="Arial"/>
          <w:color w:val="222222"/>
          <w:sz w:val="22"/>
          <w:szCs w:val="22"/>
        </w:rPr>
      </w:pPr>
      <w:r w:rsidRPr="00F22391">
        <w:rPr>
          <w:rFonts w:eastAsia="Times New Roman" w:cs="Arial"/>
          <w:color w:val="222222"/>
          <w:sz w:val="22"/>
          <w:szCs w:val="22"/>
        </w:rPr>
        <w:t>Stakeholders, with BECDD support, will need to develop CDO Performance Standards and a certification process.  This process should take into account the 5 CDO Roles; and within that context should look closely at the recommendation that came out of the various 2016 and 2017 planning processes and Summits, which is to encourage neighborhood-based partner organizations with expertise in one or more of those CDO roles, to develop the expertise and be certified to perform these roles.</w:t>
      </w:r>
    </w:p>
    <w:p w:rsidR="005737EF" w:rsidRPr="00D75365" w:rsidRDefault="005737EF" w:rsidP="004B420B">
      <w:pPr>
        <w:ind w:left="-630" w:right="-720"/>
        <w:rPr>
          <w:rFonts w:eastAsia="Times New Roman" w:cs="Arial"/>
          <w:b/>
          <w:color w:val="222222"/>
        </w:rPr>
      </w:pPr>
    </w:p>
    <w:p w:rsidR="005737EF" w:rsidRPr="00F53830" w:rsidRDefault="005737EF" w:rsidP="004B420B">
      <w:pPr>
        <w:numPr>
          <w:ilvl w:val="1"/>
          <w:numId w:val="1"/>
        </w:numPr>
        <w:ind w:left="-630" w:right="-720"/>
        <w:rPr>
          <w:rFonts w:eastAsia="Times New Roman" w:cs="Arial"/>
          <w:b/>
          <w:color w:val="222222"/>
        </w:rPr>
      </w:pPr>
      <w:r>
        <w:rPr>
          <w:rFonts w:eastAsia="Times New Roman" w:cs="Arial"/>
          <w:b/>
          <w:color w:val="222222"/>
        </w:rPr>
        <w:t>Creating a v</w:t>
      </w:r>
      <w:r w:rsidRPr="00F53830">
        <w:rPr>
          <w:rFonts w:eastAsia="Times New Roman" w:cs="Arial"/>
          <w:b/>
          <w:color w:val="222222"/>
        </w:rPr>
        <w:t xml:space="preserve">oucher </w:t>
      </w:r>
      <w:r>
        <w:rPr>
          <w:rFonts w:eastAsia="Times New Roman" w:cs="Arial"/>
          <w:b/>
          <w:color w:val="222222"/>
        </w:rPr>
        <w:t>s</w:t>
      </w:r>
      <w:r w:rsidRPr="00F53830">
        <w:rPr>
          <w:rFonts w:eastAsia="Times New Roman" w:cs="Arial"/>
          <w:b/>
          <w:color w:val="222222"/>
        </w:rPr>
        <w:t>ystem</w:t>
      </w:r>
    </w:p>
    <w:p w:rsidR="005737EF" w:rsidRPr="004B420B" w:rsidRDefault="005737EF" w:rsidP="004B420B">
      <w:pPr>
        <w:ind w:left="-630" w:right="-720"/>
        <w:rPr>
          <w:rFonts w:eastAsia="Times New Roman" w:cs="Arial"/>
          <w:color w:val="222222"/>
          <w:sz w:val="22"/>
          <w:szCs w:val="22"/>
        </w:rPr>
      </w:pPr>
      <w:r w:rsidRPr="00F22391">
        <w:rPr>
          <w:rFonts w:eastAsia="Times New Roman" w:cs="Arial"/>
          <w:color w:val="222222"/>
          <w:sz w:val="22"/>
          <w:szCs w:val="22"/>
        </w:rPr>
        <w:t xml:space="preserve">Working with TA providers and other stakeholders, the cost of various capacity building services will need to be analyzed so that the “pooled funds” required for this system to work can be developed.  A phased approach could be developed focusing first on the cost of more immediate CDO and GRO capacity needs, and eventually leading to an </w:t>
      </w:r>
      <w:r w:rsidRPr="00F22391">
        <w:rPr>
          <w:rFonts w:eastAsia="Times New Roman" w:cs="Arial"/>
          <w:color w:val="222222"/>
          <w:sz w:val="22"/>
          <w:szCs w:val="22"/>
        </w:rPr>
        <w:lastRenderedPageBreak/>
        <w:t>“ideal state” of funding for the capacity building system.  Furthermore, the mechanics of the voucher system will have to be developed, including criteria for how a CDO or GRO client organization can access the vouchers</w:t>
      </w:r>
      <w:r w:rsidR="004B420B">
        <w:rPr>
          <w:rFonts w:eastAsia="Times New Roman" w:cs="Arial"/>
          <w:color w:val="222222"/>
          <w:sz w:val="22"/>
          <w:szCs w:val="22"/>
        </w:rPr>
        <w:t>.</w:t>
      </w:r>
    </w:p>
    <w:sectPr w:rsidR="005737EF" w:rsidRPr="004B420B" w:rsidSect="004B420B">
      <w:headerReference w:type="default" r:id="rId13"/>
      <w:footerReference w:type="default" r:id="rId14"/>
      <w:pgSz w:w="12240" w:h="15840"/>
      <w:pgMar w:top="2313" w:right="1440" w:bottom="22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855" w:rsidRDefault="00911855" w:rsidP="00ED06DD">
      <w:r>
        <w:separator/>
      </w:r>
    </w:p>
  </w:endnote>
  <w:endnote w:type="continuationSeparator" w:id="0">
    <w:p w:rsidR="00911855" w:rsidRDefault="00911855" w:rsidP="00ED06DD">
      <w:r>
        <w:continuationSeparator/>
      </w:r>
    </w:p>
  </w:endnote>
  <w:endnote w:id="1">
    <w:p w:rsidR="00ED06DD" w:rsidRPr="00F53830" w:rsidRDefault="00ED06DD" w:rsidP="005737EF">
      <w:pPr>
        <w:pStyle w:val="EndnoteText"/>
        <w:tabs>
          <w:tab w:val="left" w:pos="3090"/>
        </w:tabs>
        <w:rPr>
          <w:color w:val="000000"/>
        </w:rPr>
      </w:pPr>
    </w:p>
  </w:endnote>
  <w:endnote w:id="2">
    <w:p w:rsidR="00ED06DD" w:rsidRPr="00F53830" w:rsidRDefault="00ED06DD" w:rsidP="00ED06DD">
      <w:pPr>
        <w:rPr>
          <w:rFonts w:cs="Arial"/>
          <w:bCs/>
          <w:color w:val="000000"/>
        </w:rPr>
      </w:pPr>
    </w:p>
  </w:endnote>
  <w:endnote w:id="3">
    <w:p w:rsidR="005737EF" w:rsidRPr="0089561F" w:rsidRDefault="005737EF" w:rsidP="005737EF">
      <w:pPr>
        <w:rPr>
          <w:rFonts w:cs="Adobe Garamond Pro"/>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dobe Garamond Pro">
    <w:altName w:val="Adobe Garamond Pro"/>
    <w:panose1 w:val="020B0604020202020204"/>
    <w:charset w:val="00"/>
    <w:family w:val="roman"/>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DD" w:rsidRDefault="00ED06DD">
    <w:pPr>
      <w:pStyle w:val="Footer"/>
    </w:pPr>
    <w:r>
      <w:fldChar w:fldCharType="begin"/>
    </w:r>
    <w:r>
      <w:instrText xml:space="preserve"> PAGE   \* MERGEFORMAT </w:instrText>
    </w:r>
    <w:r>
      <w:fldChar w:fldCharType="separate"/>
    </w:r>
    <w:r w:rsidR="00FD3658">
      <w:rPr>
        <w:noProof/>
      </w:rPr>
      <w:t>1</w:t>
    </w:r>
    <w:r>
      <w:rPr>
        <w:noProof/>
      </w:rPr>
      <w:fldChar w:fldCharType="end"/>
    </w:r>
  </w:p>
  <w:p w:rsidR="00ED06DD" w:rsidRDefault="00ED0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855" w:rsidRDefault="00911855" w:rsidP="00ED06DD">
      <w:r>
        <w:separator/>
      </w:r>
    </w:p>
  </w:footnote>
  <w:footnote w:type="continuationSeparator" w:id="0">
    <w:p w:rsidR="00911855" w:rsidRDefault="00911855" w:rsidP="00ED0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20B" w:rsidRDefault="004B420B">
    <w:pPr>
      <w:pStyle w:val="Header"/>
    </w:pPr>
    <w:r>
      <w:rPr>
        <w:noProof/>
      </w:rPr>
      <w:drawing>
        <wp:anchor distT="0" distB="0" distL="114300" distR="114300" simplePos="0" relativeHeight="251658240" behindDoc="1" locked="0" layoutInCell="1" allowOverlap="1">
          <wp:simplePos x="0" y="0"/>
          <wp:positionH relativeFrom="column">
            <wp:posOffset>-899032</wp:posOffset>
          </wp:positionH>
          <wp:positionV relativeFrom="paragraph">
            <wp:posOffset>-441833</wp:posOffset>
          </wp:positionV>
          <wp:extent cx="7768558" cy="10053477"/>
          <wp:effectExtent l="0" t="0" r="444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it_Handout_BG_Art_HeaderFooter2.png"/>
                  <pic:cNvPicPr/>
                </pic:nvPicPr>
                <pic:blipFill>
                  <a:blip r:embed="rId1">
                    <a:extLst>
                      <a:ext uri="{28A0092B-C50C-407E-A947-70E740481C1C}">
                        <a14:useLocalDpi xmlns:a14="http://schemas.microsoft.com/office/drawing/2010/main" val="0"/>
                      </a:ext>
                    </a:extLst>
                  </a:blip>
                  <a:stretch>
                    <a:fillRect/>
                  </a:stretch>
                </pic:blipFill>
                <pic:spPr>
                  <a:xfrm>
                    <a:off x="0" y="0"/>
                    <a:ext cx="7774733" cy="1006146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3148D"/>
    <w:multiLevelType w:val="hybridMultilevel"/>
    <w:tmpl w:val="0D2EED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C6C42"/>
    <w:multiLevelType w:val="hybridMultilevel"/>
    <w:tmpl w:val="F72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42339"/>
    <w:multiLevelType w:val="hybridMultilevel"/>
    <w:tmpl w:val="9E12A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00DEF"/>
    <w:multiLevelType w:val="hybridMultilevel"/>
    <w:tmpl w:val="93D00F0C"/>
    <w:lvl w:ilvl="0" w:tplc="C472C3D6">
      <w:start w:val="9"/>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607D3"/>
    <w:multiLevelType w:val="hybridMultilevel"/>
    <w:tmpl w:val="C9429E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D2279"/>
    <w:multiLevelType w:val="hybridMultilevel"/>
    <w:tmpl w:val="26AAAB66"/>
    <w:lvl w:ilvl="0" w:tplc="C472C3D6">
      <w:start w:val="9"/>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800C6"/>
    <w:multiLevelType w:val="hybridMultilevel"/>
    <w:tmpl w:val="A2284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00371"/>
    <w:multiLevelType w:val="hybridMultilevel"/>
    <w:tmpl w:val="73D2A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F967A2"/>
    <w:multiLevelType w:val="hybridMultilevel"/>
    <w:tmpl w:val="FD8E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64848"/>
    <w:multiLevelType w:val="hybridMultilevel"/>
    <w:tmpl w:val="4B08DE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4107688"/>
    <w:multiLevelType w:val="multilevel"/>
    <w:tmpl w:val="061A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1E19FF"/>
    <w:multiLevelType w:val="hybridMultilevel"/>
    <w:tmpl w:val="E63893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0"/>
  </w:num>
  <w:num w:numId="4">
    <w:abstractNumId w:val="0"/>
  </w:num>
  <w:num w:numId="5">
    <w:abstractNumId w:val="11"/>
  </w:num>
  <w:num w:numId="6">
    <w:abstractNumId w:val="5"/>
  </w:num>
  <w:num w:numId="7">
    <w:abstractNumId w:val="3"/>
  </w:num>
  <w:num w:numId="8">
    <w:abstractNumId w:val="8"/>
  </w:num>
  <w:num w:numId="9">
    <w:abstractNumId w:val="1"/>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7C"/>
    <w:rsid w:val="00214EB1"/>
    <w:rsid w:val="004B420B"/>
    <w:rsid w:val="00564014"/>
    <w:rsid w:val="005737EF"/>
    <w:rsid w:val="006E5A7C"/>
    <w:rsid w:val="00911855"/>
    <w:rsid w:val="00C645DC"/>
    <w:rsid w:val="00E3039A"/>
    <w:rsid w:val="00ED06DD"/>
    <w:rsid w:val="00FD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EE21C"/>
  <w15:chartTrackingRefBased/>
  <w15:docId w15:val="{227F82A0-19A0-7347-B538-22982AAA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A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A7C"/>
    <w:pPr>
      <w:ind w:left="720"/>
      <w:contextualSpacing/>
    </w:pPr>
  </w:style>
  <w:style w:type="character" w:styleId="Hyperlink">
    <w:name w:val="Hyperlink"/>
    <w:uiPriority w:val="99"/>
    <w:unhideWhenUsed/>
    <w:rsid w:val="00ED06DD"/>
    <w:rPr>
      <w:color w:val="0563C1"/>
      <w:u w:val="single"/>
    </w:rPr>
  </w:style>
  <w:style w:type="paragraph" w:styleId="EndnoteText">
    <w:name w:val="endnote text"/>
    <w:basedOn w:val="Normal"/>
    <w:link w:val="EndnoteTextChar"/>
    <w:uiPriority w:val="99"/>
    <w:unhideWhenUsed/>
    <w:rsid w:val="00ED06DD"/>
  </w:style>
  <w:style w:type="character" w:customStyle="1" w:styleId="EndnoteTextChar">
    <w:name w:val="Endnote Text Char"/>
    <w:link w:val="EndnoteText"/>
    <w:uiPriority w:val="99"/>
    <w:rsid w:val="00ED06DD"/>
    <w:rPr>
      <w:sz w:val="24"/>
      <w:szCs w:val="24"/>
    </w:rPr>
  </w:style>
  <w:style w:type="character" w:styleId="EndnoteReference">
    <w:name w:val="endnote reference"/>
    <w:uiPriority w:val="99"/>
    <w:unhideWhenUsed/>
    <w:rsid w:val="00ED06DD"/>
    <w:rPr>
      <w:vertAlign w:val="superscript"/>
    </w:rPr>
  </w:style>
  <w:style w:type="paragraph" w:styleId="Header">
    <w:name w:val="header"/>
    <w:basedOn w:val="Normal"/>
    <w:link w:val="HeaderChar"/>
    <w:uiPriority w:val="99"/>
    <w:unhideWhenUsed/>
    <w:rsid w:val="00ED06DD"/>
    <w:pPr>
      <w:tabs>
        <w:tab w:val="center" w:pos="4680"/>
        <w:tab w:val="right" w:pos="9360"/>
      </w:tabs>
    </w:pPr>
  </w:style>
  <w:style w:type="character" w:customStyle="1" w:styleId="HeaderChar">
    <w:name w:val="Header Char"/>
    <w:link w:val="Header"/>
    <w:uiPriority w:val="99"/>
    <w:rsid w:val="00ED06DD"/>
    <w:rPr>
      <w:sz w:val="24"/>
      <w:szCs w:val="24"/>
    </w:rPr>
  </w:style>
  <w:style w:type="paragraph" w:styleId="Footer">
    <w:name w:val="footer"/>
    <w:basedOn w:val="Normal"/>
    <w:link w:val="FooterChar"/>
    <w:uiPriority w:val="99"/>
    <w:unhideWhenUsed/>
    <w:rsid w:val="00ED06DD"/>
    <w:pPr>
      <w:tabs>
        <w:tab w:val="center" w:pos="4680"/>
        <w:tab w:val="right" w:pos="9360"/>
      </w:tabs>
    </w:pPr>
  </w:style>
  <w:style w:type="character" w:customStyle="1" w:styleId="FooterChar">
    <w:name w:val="Footer Char"/>
    <w:link w:val="Footer"/>
    <w:uiPriority w:val="99"/>
    <w:rsid w:val="00ED06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tandardsforexcellenc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DE4CFD-CF3E-E048-B5E5-88E5AD8BD76A}" type="doc">
      <dgm:prSet loTypeId="urn:microsoft.com/office/officeart/2005/8/layout/chevron2" loCatId="process" qsTypeId="urn:microsoft.com/office/officeart/2005/8/quickstyle/simple3" qsCatId="simple" csTypeId="urn:microsoft.com/office/officeart/2005/8/colors/colorful5" csCatId="colorful" phldr="1"/>
      <dgm:spPr/>
      <dgm:t>
        <a:bodyPr/>
        <a:lstStyle/>
        <a:p>
          <a:endParaRPr lang="en-US"/>
        </a:p>
      </dgm:t>
    </dgm:pt>
    <dgm:pt modelId="{370AECF0-3E3B-0942-A4BF-CE11BA5EB030}">
      <dgm:prSet phldrT="[Text]" custT="1"/>
      <dgm:spPr>
        <a:xfrm rot="5400000">
          <a:off x="61730" y="-30879"/>
          <a:ext cx="617318" cy="682659"/>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gm:spPr>
      <dgm:t>
        <a:bodyPr/>
        <a:lstStyle/>
        <a:p>
          <a:pPr>
            <a:buNone/>
          </a:pPr>
          <a:r>
            <a:rPr lang="en-US" sz="1100" b="1">
              <a:solidFill>
                <a:sysClr val="windowText" lastClr="000000"/>
              </a:solidFill>
              <a:latin typeface="Calibri" panose="020F0502020204030204"/>
              <a:ea typeface="+mn-ea"/>
              <a:cs typeface="+mn-cs"/>
            </a:rPr>
            <a:t>Intake</a:t>
          </a:r>
        </a:p>
      </dgm:t>
    </dgm:pt>
    <dgm:pt modelId="{88A2AEB4-8FC6-3C4B-A35A-12EC3C53A6A2}" type="parTrans" cxnId="{532F6B4E-4640-3F4D-A54B-74350C512A5E}">
      <dgm:prSet/>
      <dgm:spPr/>
      <dgm:t>
        <a:bodyPr/>
        <a:lstStyle/>
        <a:p>
          <a:endParaRPr lang="en-US"/>
        </a:p>
      </dgm:t>
    </dgm:pt>
    <dgm:pt modelId="{6B9560E8-97CE-FA41-BF0D-641D1F6EFA2E}" type="sibTrans" cxnId="{532F6B4E-4640-3F4D-A54B-74350C512A5E}">
      <dgm:prSet/>
      <dgm:spPr/>
      <dgm:t>
        <a:bodyPr/>
        <a:lstStyle/>
        <a:p>
          <a:endParaRPr lang="en-US"/>
        </a:p>
      </dgm:t>
    </dgm:pt>
    <dgm:pt modelId="{6F83E019-E058-504B-8825-400DBBF7F5BA}">
      <dgm:prSet phldrT="[Text]"/>
      <dgm:spPr>
        <a:xfrm rot="5400000">
          <a:off x="3227286" y="-2455656"/>
          <a:ext cx="401256" cy="5316151"/>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Coordinating entity acts as central intake</a:t>
          </a:r>
        </a:p>
      </dgm:t>
    </dgm:pt>
    <dgm:pt modelId="{BD4502D0-B7EF-6042-8FFB-BF49E4A6783A}" type="parTrans" cxnId="{7E9BA793-4FF8-E340-89EF-76793E2C0CA7}">
      <dgm:prSet/>
      <dgm:spPr/>
      <dgm:t>
        <a:bodyPr/>
        <a:lstStyle/>
        <a:p>
          <a:endParaRPr lang="en-US"/>
        </a:p>
      </dgm:t>
    </dgm:pt>
    <dgm:pt modelId="{69747AB7-6FAF-5D43-A205-48A507AAD0E9}" type="sibTrans" cxnId="{7E9BA793-4FF8-E340-89EF-76793E2C0CA7}">
      <dgm:prSet/>
      <dgm:spPr/>
      <dgm:t>
        <a:bodyPr/>
        <a:lstStyle/>
        <a:p>
          <a:endParaRPr lang="en-US"/>
        </a:p>
      </dgm:t>
    </dgm:pt>
    <dgm:pt modelId="{A96EFC56-675A-694E-922F-AC04D92CB38C}">
      <dgm:prSet phldrT="[Text]" custT="1"/>
      <dgm:spPr>
        <a:xfrm rot="5400000">
          <a:off x="46718" y="504636"/>
          <a:ext cx="617318" cy="652635"/>
        </a:xfrm>
        <a:prstGeom prst="chevron">
          <a:avLst/>
        </a:prstGeom>
        <a:gradFill rotWithShape="0">
          <a:gsLst>
            <a:gs pos="0">
              <a:srgbClr val="4472C4">
                <a:hueOff val="-1470669"/>
                <a:satOff val="-2046"/>
                <a:lumOff val="-784"/>
                <a:alphaOff val="0"/>
                <a:lumMod val="110000"/>
                <a:satMod val="105000"/>
                <a:tint val="67000"/>
              </a:srgbClr>
            </a:gs>
            <a:gs pos="50000">
              <a:srgbClr val="4472C4">
                <a:hueOff val="-1470669"/>
                <a:satOff val="-2046"/>
                <a:lumOff val="-784"/>
                <a:alphaOff val="0"/>
                <a:lumMod val="105000"/>
                <a:satMod val="103000"/>
                <a:tint val="73000"/>
              </a:srgbClr>
            </a:gs>
            <a:gs pos="100000">
              <a:srgbClr val="4472C4">
                <a:hueOff val="-1470669"/>
                <a:satOff val="-2046"/>
                <a:lumOff val="-784"/>
                <a:alphaOff val="0"/>
                <a:lumMod val="105000"/>
                <a:satMod val="109000"/>
                <a:tint val="81000"/>
              </a:srgbClr>
            </a:gs>
          </a:gsLst>
          <a:lin ang="5400000" scaled="0"/>
        </a:gradFill>
        <a:ln w="6350" cap="flat" cmpd="sng" algn="ctr">
          <a:solidFill>
            <a:srgbClr val="4472C4">
              <a:hueOff val="-1470669"/>
              <a:satOff val="-2046"/>
              <a:lumOff val="-784"/>
              <a:alphaOff val="0"/>
            </a:srgbClr>
          </a:solidFill>
          <a:prstDash val="solid"/>
          <a:miter lim="800000"/>
        </a:ln>
        <a:effectLst/>
      </dgm:spPr>
      <dgm:t>
        <a:bodyPr/>
        <a:lstStyle/>
        <a:p>
          <a:pPr>
            <a:buNone/>
          </a:pPr>
          <a:r>
            <a:rPr lang="en-US" sz="900" b="1">
              <a:solidFill>
                <a:sysClr val="windowText" lastClr="000000"/>
              </a:solidFill>
              <a:latin typeface="Calibri" panose="020F0502020204030204"/>
              <a:ea typeface="+mn-ea"/>
              <a:cs typeface="+mn-cs"/>
            </a:rPr>
            <a:t> </a:t>
          </a:r>
          <a:r>
            <a:rPr lang="en-US" sz="950" b="1">
              <a:solidFill>
                <a:sysClr val="windowText" lastClr="000000"/>
              </a:solidFill>
              <a:latin typeface="Calibri" panose="020F0502020204030204"/>
              <a:ea typeface="+mn-ea"/>
              <a:cs typeface="+mn-cs"/>
            </a:rPr>
            <a:t>Assessment</a:t>
          </a:r>
        </a:p>
      </dgm:t>
    </dgm:pt>
    <dgm:pt modelId="{34D6A5A2-967B-1943-B47B-35F254BFDBB6}" type="parTrans" cxnId="{A3A22140-CE24-E44D-981F-002D4D93EB23}">
      <dgm:prSet/>
      <dgm:spPr/>
      <dgm:t>
        <a:bodyPr/>
        <a:lstStyle/>
        <a:p>
          <a:endParaRPr lang="en-US"/>
        </a:p>
      </dgm:t>
    </dgm:pt>
    <dgm:pt modelId="{B44C2982-9040-0645-B45E-61E5F20F81FC}" type="sibTrans" cxnId="{A3A22140-CE24-E44D-981F-002D4D93EB23}">
      <dgm:prSet/>
      <dgm:spPr/>
      <dgm:t>
        <a:bodyPr/>
        <a:lstStyle/>
        <a:p>
          <a:endParaRPr lang="en-US"/>
        </a:p>
      </dgm:t>
    </dgm:pt>
    <dgm:pt modelId="{A35D2A42-FD2D-724B-9023-D4C7E542269C}">
      <dgm:prSet phldrT="[Text]"/>
      <dgm:spPr>
        <a:xfrm rot="5400000">
          <a:off x="3145653" y="-1795458"/>
          <a:ext cx="401467" cy="5036975"/>
        </a:xfrm>
        <a:prstGeom prst="round2SameRect">
          <a:avLst/>
        </a:prstGeom>
        <a:solidFill>
          <a:sysClr val="window" lastClr="FFFFFF">
            <a:alpha val="90000"/>
            <a:hueOff val="0"/>
            <a:satOff val="0"/>
            <a:lumOff val="0"/>
            <a:alphaOff val="0"/>
          </a:sysClr>
        </a:solidFill>
        <a:ln w="6350" cap="flat" cmpd="sng" algn="ctr">
          <a:solidFill>
            <a:srgbClr val="4472C4">
              <a:hueOff val="-1470669"/>
              <a:satOff val="-2046"/>
              <a:lumOff val="-784"/>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Organizations can opt to undergo a general nonprofit guided self-assessment,</a:t>
          </a:r>
        </a:p>
      </dgm:t>
    </dgm:pt>
    <dgm:pt modelId="{BAC44A4C-7FFE-E54A-B88C-B92AADE9B300}" type="parTrans" cxnId="{652176E5-8A3E-154D-BFBD-1FC81B9D2A9D}">
      <dgm:prSet/>
      <dgm:spPr/>
      <dgm:t>
        <a:bodyPr/>
        <a:lstStyle/>
        <a:p>
          <a:endParaRPr lang="en-US"/>
        </a:p>
      </dgm:t>
    </dgm:pt>
    <dgm:pt modelId="{17F4B580-849B-EB40-BD06-2760C197923F}" type="sibTrans" cxnId="{652176E5-8A3E-154D-BFBD-1FC81B9D2A9D}">
      <dgm:prSet/>
      <dgm:spPr/>
      <dgm:t>
        <a:bodyPr/>
        <a:lstStyle/>
        <a:p>
          <a:endParaRPr lang="en-US"/>
        </a:p>
      </dgm:t>
    </dgm:pt>
    <dgm:pt modelId="{5CC8B9D7-B494-2442-8206-ECA4AF96003E}">
      <dgm:prSet phldrT="[Text]"/>
      <dgm:spPr>
        <a:xfrm rot="5400000">
          <a:off x="3145653" y="-1795458"/>
          <a:ext cx="401467" cy="5036975"/>
        </a:xfrm>
        <a:prstGeom prst="round2SameRect">
          <a:avLst/>
        </a:prstGeom>
        <a:solidFill>
          <a:sysClr val="window" lastClr="FFFFFF">
            <a:alpha val="90000"/>
            <a:hueOff val="0"/>
            <a:satOff val="0"/>
            <a:lumOff val="0"/>
            <a:alphaOff val="0"/>
          </a:sysClr>
        </a:solidFill>
        <a:ln w="6350" cap="flat" cmpd="sng" algn="ctr">
          <a:solidFill>
            <a:srgbClr val="4472C4">
              <a:hueOff val="-1470669"/>
              <a:satOff val="-2046"/>
              <a:lumOff val="-784"/>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Followed by a community development-specific assessment (GROs &amp; CDOs at different scales)</a:t>
          </a:r>
        </a:p>
      </dgm:t>
    </dgm:pt>
    <dgm:pt modelId="{EFE138DF-7F6A-814F-B7BF-1ABD42C87E61}" type="parTrans" cxnId="{F3519035-0FF3-C44B-8894-D2ACE2D69AB2}">
      <dgm:prSet/>
      <dgm:spPr/>
      <dgm:t>
        <a:bodyPr/>
        <a:lstStyle/>
        <a:p>
          <a:endParaRPr lang="en-US"/>
        </a:p>
      </dgm:t>
    </dgm:pt>
    <dgm:pt modelId="{974ED005-6859-8C4B-A8EC-D4AE3716A68F}" type="sibTrans" cxnId="{F3519035-0FF3-C44B-8894-D2ACE2D69AB2}">
      <dgm:prSet/>
      <dgm:spPr/>
      <dgm:t>
        <a:bodyPr/>
        <a:lstStyle/>
        <a:p>
          <a:endParaRPr lang="en-US"/>
        </a:p>
      </dgm:t>
    </dgm:pt>
    <dgm:pt modelId="{36942640-D680-F449-9C0E-83129EC09984}">
      <dgm:prSet phldrT="[Text]" custT="1"/>
      <dgm:spPr>
        <a:xfrm rot="5400000">
          <a:off x="61730" y="1010128"/>
          <a:ext cx="617318" cy="682659"/>
        </a:xfrm>
        <a:prstGeom prst="chevron">
          <a:avLst/>
        </a:prstGeom>
        <a:gradFill rotWithShape="0">
          <a:gsLst>
            <a:gs pos="0">
              <a:srgbClr val="4472C4">
                <a:hueOff val="-2941338"/>
                <a:satOff val="-4091"/>
                <a:lumOff val="-1569"/>
                <a:alphaOff val="0"/>
                <a:lumMod val="110000"/>
                <a:satMod val="105000"/>
                <a:tint val="67000"/>
              </a:srgbClr>
            </a:gs>
            <a:gs pos="50000">
              <a:srgbClr val="4472C4">
                <a:hueOff val="-2941338"/>
                <a:satOff val="-4091"/>
                <a:lumOff val="-1569"/>
                <a:alphaOff val="0"/>
                <a:lumMod val="105000"/>
                <a:satMod val="103000"/>
                <a:tint val="73000"/>
              </a:srgbClr>
            </a:gs>
            <a:gs pos="100000">
              <a:srgbClr val="4472C4">
                <a:hueOff val="-2941338"/>
                <a:satOff val="-4091"/>
                <a:lumOff val="-1569"/>
                <a:alphaOff val="0"/>
                <a:lumMod val="105000"/>
                <a:satMod val="109000"/>
                <a:tint val="81000"/>
              </a:srgbClr>
            </a:gs>
          </a:gsLst>
          <a:lin ang="5400000" scaled="0"/>
        </a:gradFill>
        <a:ln w="6350" cap="flat" cmpd="sng" algn="ctr">
          <a:solidFill>
            <a:srgbClr val="4472C4">
              <a:hueOff val="-2941338"/>
              <a:satOff val="-4091"/>
              <a:lumOff val="-1569"/>
              <a:alphaOff val="0"/>
            </a:srgbClr>
          </a:solidFill>
          <a:prstDash val="solid"/>
          <a:miter lim="800000"/>
        </a:ln>
        <a:effectLst/>
      </dgm:spPr>
      <dgm:t>
        <a:bodyPr/>
        <a:lstStyle/>
        <a:p>
          <a:pPr>
            <a:buNone/>
          </a:pPr>
          <a:r>
            <a:rPr lang="en-US" sz="1000" b="1">
              <a:solidFill>
                <a:sysClr val="windowText" lastClr="000000"/>
              </a:solidFill>
              <a:latin typeface="Calibri" panose="020F0502020204030204"/>
              <a:ea typeface="+mn-ea"/>
              <a:cs typeface="+mn-cs"/>
            </a:rPr>
            <a:t>Referral</a:t>
          </a:r>
        </a:p>
      </dgm:t>
    </dgm:pt>
    <dgm:pt modelId="{824477AE-A8A2-B649-9BA7-B4C085D83D42}" type="parTrans" cxnId="{9C2D6970-0518-1B45-8676-2420BB6AF71F}">
      <dgm:prSet/>
      <dgm:spPr/>
      <dgm:t>
        <a:bodyPr/>
        <a:lstStyle/>
        <a:p>
          <a:endParaRPr lang="en-US"/>
        </a:p>
      </dgm:t>
    </dgm:pt>
    <dgm:pt modelId="{9D6B85EF-BF3C-304D-A007-4C4B79ECF4F8}" type="sibTrans" cxnId="{9C2D6970-0518-1B45-8676-2420BB6AF71F}">
      <dgm:prSet/>
      <dgm:spPr/>
      <dgm:t>
        <a:bodyPr/>
        <a:lstStyle/>
        <a:p>
          <a:endParaRPr lang="en-US"/>
        </a:p>
      </dgm:t>
    </dgm:pt>
    <dgm:pt modelId="{3258599D-32E3-954A-92B5-8FFCC0BCF0D5}">
      <dgm:prSet phldrT="[Text]"/>
      <dgm:spPr>
        <a:xfrm rot="5400000">
          <a:off x="3227286" y="-1406805"/>
          <a:ext cx="401256" cy="5300466"/>
        </a:xfrm>
        <a:prstGeom prst="round2SameRect">
          <a:avLst/>
        </a:prstGeom>
        <a:solidFill>
          <a:sysClr val="window" lastClr="FFFFFF">
            <a:alpha val="90000"/>
            <a:hueOff val="0"/>
            <a:satOff val="0"/>
            <a:lumOff val="0"/>
            <a:alphaOff val="0"/>
          </a:sysClr>
        </a:solidFill>
        <a:ln w="6350" cap="flat" cmpd="sng" algn="ctr">
          <a:solidFill>
            <a:srgbClr val="4472C4">
              <a:hueOff val="-2941338"/>
              <a:satOff val="-4091"/>
              <a:lumOff val="-1569"/>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TA provider list has been, and is continuously, vetted in partnership with end users and based on agreed-on quality standards</a:t>
          </a:r>
        </a:p>
      </dgm:t>
    </dgm:pt>
    <dgm:pt modelId="{EE51CFAE-0423-7543-95CD-F86E19E5049C}" type="parTrans" cxnId="{B89D2893-004B-6849-A65C-66197CE9D112}">
      <dgm:prSet/>
      <dgm:spPr/>
      <dgm:t>
        <a:bodyPr/>
        <a:lstStyle/>
        <a:p>
          <a:endParaRPr lang="en-US"/>
        </a:p>
      </dgm:t>
    </dgm:pt>
    <dgm:pt modelId="{692343F1-BF49-444D-82F8-728DE021233B}" type="sibTrans" cxnId="{B89D2893-004B-6849-A65C-66197CE9D112}">
      <dgm:prSet/>
      <dgm:spPr/>
      <dgm:t>
        <a:bodyPr/>
        <a:lstStyle/>
        <a:p>
          <a:endParaRPr lang="en-US"/>
        </a:p>
      </dgm:t>
    </dgm:pt>
    <dgm:pt modelId="{1DF41386-DEC1-A943-926A-459082673E85}">
      <dgm:prSet custT="1"/>
      <dgm:spPr>
        <a:xfrm rot="5400000">
          <a:off x="61730" y="1530632"/>
          <a:ext cx="617318" cy="682659"/>
        </a:xfrm>
        <a:prstGeom prst="chevron">
          <a:avLst/>
        </a:prstGeom>
        <a:gradFill rotWithShape="0">
          <a:gsLst>
            <a:gs pos="0">
              <a:srgbClr val="4472C4">
                <a:hueOff val="-4412007"/>
                <a:satOff val="-6137"/>
                <a:lumOff val="-2353"/>
                <a:alphaOff val="0"/>
                <a:lumMod val="110000"/>
                <a:satMod val="105000"/>
                <a:tint val="67000"/>
              </a:srgbClr>
            </a:gs>
            <a:gs pos="50000">
              <a:srgbClr val="4472C4">
                <a:hueOff val="-4412007"/>
                <a:satOff val="-6137"/>
                <a:lumOff val="-2353"/>
                <a:alphaOff val="0"/>
                <a:lumMod val="105000"/>
                <a:satMod val="103000"/>
                <a:tint val="73000"/>
              </a:srgbClr>
            </a:gs>
            <a:gs pos="100000">
              <a:srgbClr val="4472C4">
                <a:hueOff val="-4412007"/>
                <a:satOff val="-6137"/>
                <a:lumOff val="-2353"/>
                <a:alphaOff val="0"/>
                <a:lumMod val="105000"/>
                <a:satMod val="109000"/>
                <a:tint val="81000"/>
              </a:srgbClr>
            </a:gs>
          </a:gsLst>
          <a:lin ang="5400000" scaled="0"/>
        </a:gradFill>
        <a:ln w="6350" cap="flat" cmpd="sng" algn="ctr">
          <a:solidFill>
            <a:srgbClr val="4472C4">
              <a:hueOff val="-4412007"/>
              <a:satOff val="-6137"/>
              <a:lumOff val="-2353"/>
              <a:alphaOff val="0"/>
            </a:srgbClr>
          </a:solidFill>
          <a:prstDash val="solid"/>
          <a:miter lim="800000"/>
        </a:ln>
        <a:effectLst/>
      </dgm:spPr>
      <dgm:t>
        <a:bodyPr/>
        <a:lstStyle/>
        <a:p>
          <a:pPr>
            <a:buNone/>
          </a:pPr>
          <a:r>
            <a:rPr lang="en-US" sz="1000" b="1">
              <a:solidFill>
                <a:sysClr val="windowText" lastClr="000000"/>
              </a:solidFill>
              <a:latin typeface="Calibri" panose="020F0502020204030204"/>
              <a:ea typeface="+mn-ea"/>
              <a:cs typeface="+mn-cs"/>
            </a:rPr>
            <a:t>Service Delivery</a:t>
          </a:r>
        </a:p>
      </dgm:t>
    </dgm:pt>
    <dgm:pt modelId="{C94AE5A3-CAB3-F941-B69B-9181820A5B9A}" type="parTrans" cxnId="{62299CFF-C9B4-6D47-AF78-82F0DD30B4F1}">
      <dgm:prSet/>
      <dgm:spPr/>
      <dgm:t>
        <a:bodyPr/>
        <a:lstStyle/>
        <a:p>
          <a:endParaRPr lang="en-US"/>
        </a:p>
      </dgm:t>
    </dgm:pt>
    <dgm:pt modelId="{B59F57E8-B0BC-C04D-A16D-B40FA746C460}" type="sibTrans" cxnId="{62299CFF-C9B4-6D47-AF78-82F0DD30B4F1}">
      <dgm:prSet/>
      <dgm:spPr/>
      <dgm:t>
        <a:bodyPr/>
        <a:lstStyle/>
        <a:p>
          <a:endParaRPr lang="en-US"/>
        </a:p>
      </dgm:t>
    </dgm:pt>
    <dgm:pt modelId="{039B9CF7-657D-C543-8DDD-8B1A0E31FF16}">
      <dgm:prSet custT="1"/>
      <dgm:spPr>
        <a:xfrm rot="5400000">
          <a:off x="61730" y="2763885"/>
          <a:ext cx="617318" cy="682659"/>
        </a:xfrm>
        <a:prstGeom prst="chevron">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w="6350" cap="flat" cmpd="sng" algn="ctr">
          <a:solidFill>
            <a:srgbClr val="4472C4">
              <a:hueOff val="-7353344"/>
              <a:satOff val="-10228"/>
              <a:lumOff val="-3922"/>
              <a:alphaOff val="0"/>
            </a:srgbClr>
          </a:solidFill>
          <a:prstDash val="solid"/>
          <a:miter lim="800000"/>
        </a:ln>
        <a:effectLst/>
      </dgm:spPr>
      <dgm:t>
        <a:bodyPr/>
        <a:lstStyle/>
        <a:p>
          <a:pPr>
            <a:buNone/>
          </a:pPr>
          <a:r>
            <a:rPr lang="en-US" sz="1000" b="1">
              <a:solidFill>
                <a:sysClr val="windowText" lastClr="000000"/>
              </a:solidFill>
              <a:latin typeface="Calibri" panose="020F0502020204030204"/>
              <a:ea typeface="+mn-ea"/>
              <a:cs typeface="+mn-cs"/>
            </a:rPr>
            <a:t>Payment</a:t>
          </a:r>
        </a:p>
      </dgm:t>
    </dgm:pt>
    <dgm:pt modelId="{393FC473-2E15-884C-BFFD-B4CE4AD97D84}" type="parTrans" cxnId="{10B0AC5B-FDAD-C245-AA0A-9D6416B31F04}">
      <dgm:prSet/>
      <dgm:spPr/>
      <dgm:t>
        <a:bodyPr/>
        <a:lstStyle/>
        <a:p>
          <a:endParaRPr lang="en-US"/>
        </a:p>
      </dgm:t>
    </dgm:pt>
    <dgm:pt modelId="{9207A009-D4F6-9F4B-AE84-4DD899FBFE45}" type="sibTrans" cxnId="{10B0AC5B-FDAD-C245-AA0A-9D6416B31F04}">
      <dgm:prSet/>
      <dgm:spPr/>
      <dgm:t>
        <a:bodyPr/>
        <a:lstStyle/>
        <a:p>
          <a:endParaRPr lang="en-US"/>
        </a:p>
      </dgm:t>
    </dgm:pt>
    <dgm:pt modelId="{72C26FB8-58B1-954B-B80C-1F6AF1A65475}">
      <dgm:prSet custT="1"/>
      <dgm:spPr>
        <a:xfrm rot="5400000">
          <a:off x="61730" y="2243381"/>
          <a:ext cx="617318" cy="682659"/>
        </a:xfrm>
        <a:prstGeom prst="chevron">
          <a:avLst/>
        </a:prstGeom>
        <a:gradFill rotWithShape="0">
          <a:gsLst>
            <a:gs pos="0">
              <a:srgbClr val="4472C4">
                <a:hueOff val="-5882676"/>
                <a:satOff val="-8182"/>
                <a:lumOff val="-3138"/>
                <a:alphaOff val="0"/>
                <a:lumMod val="110000"/>
                <a:satMod val="105000"/>
                <a:tint val="67000"/>
              </a:srgbClr>
            </a:gs>
            <a:gs pos="50000">
              <a:srgbClr val="4472C4">
                <a:hueOff val="-5882676"/>
                <a:satOff val="-8182"/>
                <a:lumOff val="-3138"/>
                <a:alphaOff val="0"/>
                <a:lumMod val="105000"/>
                <a:satMod val="103000"/>
                <a:tint val="73000"/>
              </a:srgbClr>
            </a:gs>
            <a:gs pos="100000">
              <a:srgbClr val="4472C4">
                <a:hueOff val="-5882676"/>
                <a:satOff val="-8182"/>
                <a:lumOff val="-3138"/>
                <a:alphaOff val="0"/>
                <a:lumMod val="105000"/>
                <a:satMod val="109000"/>
                <a:tint val="81000"/>
              </a:srgbClr>
            </a:gs>
          </a:gsLst>
          <a:lin ang="5400000" scaled="0"/>
        </a:gradFill>
        <a:ln w="6350" cap="flat" cmpd="sng" algn="ctr">
          <a:solidFill>
            <a:srgbClr val="4472C4">
              <a:hueOff val="-5882676"/>
              <a:satOff val="-8182"/>
              <a:lumOff val="-3138"/>
              <a:alphaOff val="0"/>
            </a:srgbClr>
          </a:solidFill>
          <a:prstDash val="solid"/>
          <a:miter lim="800000"/>
        </a:ln>
        <a:effectLst/>
      </dgm:spPr>
      <dgm:t>
        <a:bodyPr/>
        <a:lstStyle/>
        <a:p>
          <a:pPr>
            <a:buNone/>
          </a:pPr>
          <a:r>
            <a:rPr lang="en-US" sz="1000" b="1">
              <a:solidFill>
                <a:sysClr val="windowText" lastClr="000000"/>
              </a:solidFill>
              <a:latin typeface="Calibri" panose="020F0502020204030204"/>
              <a:ea typeface="+mn-ea"/>
              <a:cs typeface="+mn-cs"/>
            </a:rPr>
            <a:t>Monitoring</a:t>
          </a:r>
        </a:p>
      </dgm:t>
    </dgm:pt>
    <dgm:pt modelId="{12A7936E-EFCB-8D44-AADD-CAB95C67B9A5}" type="parTrans" cxnId="{16BF1870-9E5D-CC46-837C-D7B12C79733C}">
      <dgm:prSet/>
      <dgm:spPr/>
      <dgm:t>
        <a:bodyPr/>
        <a:lstStyle/>
        <a:p>
          <a:endParaRPr lang="en-US"/>
        </a:p>
      </dgm:t>
    </dgm:pt>
    <dgm:pt modelId="{DE1CD542-895C-3C40-86B1-39C75DE94418}" type="sibTrans" cxnId="{16BF1870-9E5D-CC46-837C-D7B12C79733C}">
      <dgm:prSet/>
      <dgm:spPr/>
      <dgm:t>
        <a:bodyPr/>
        <a:lstStyle/>
        <a:p>
          <a:endParaRPr lang="en-US"/>
        </a:p>
      </dgm:t>
    </dgm:pt>
    <dgm:pt modelId="{CB03B2C3-89A3-8F4D-B765-571E4A640410}">
      <dgm:prSet custT="1"/>
      <dgm:spPr>
        <a:xfrm rot="5400000">
          <a:off x="3035041" y="-173553"/>
          <a:ext cx="785745" cy="5300466"/>
        </a:xfrm>
        <a:prstGeom prst="round2SameRect">
          <a:avLst/>
        </a:prstGeom>
        <a:solidFill>
          <a:sysClr val="window" lastClr="FFFFFF">
            <a:alpha val="90000"/>
            <a:hueOff val="0"/>
            <a:satOff val="0"/>
            <a:lumOff val="0"/>
            <a:alphaOff val="0"/>
          </a:sysClr>
        </a:solidFill>
        <a:ln w="6350" cap="flat" cmpd="sng" algn="ctr">
          <a:solidFill>
            <a:srgbClr val="4472C4">
              <a:hueOff val="-5882676"/>
              <a:satOff val="-8182"/>
              <a:lumOff val="-3138"/>
              <a:alphaOff val="0"/>
            </a:srgbClr>
          </a:solidFill>
          <a:prstDash val="solid"/>
          <a:miter lim="800000"/>
        </a:ln>
        <a:effectLst/>
      </dgm:spPr>
      <dgm:t>
        <a:bodyPr/>
        <a:lstStyle/>
        <a:p>
          <a:pPr>
            <a:buChar char="•"/>
          </a:pPr>
          <a:r>
            <a:rPr lang="en-US" sz="1000" b="0">
              <a:solidFill>
                <a:sysClr val="windowText" lastClr="000000">
                  <a:hueOff val="0"/>
                  <a:satOff val="0"/>
                  <a:lumOff val="0"/>
                  <a:alphaOff val="0"/>
                </a:sysClr>
              </a:solidFill>
              <a:latin typeface="Calibri" panose="020F0502020204030204"/>
              <a:ea typeface="+mn-ea"/>
              <a:cs typeface="+mn-cs"/>
            </a:rPr>
            <a:t>TA Providers are monitored and evaluated for quality control</a:t>
          </a:r>
        </a:p>
      </dgm:t>
    </dgm:pt>
    <dgm:pt modelId="{E0C8A6EA-2062-9249-A63F-2C9EC2E5DB40}" type="parTrans" cxnId="{16793616-7BC4-E44B-A85E-217EAC792126}">
      <dgm:prSet/>
      <dgm:spPr/>
      <dgm:t>
        <a:bodyPr/>
        <a:lstStyle/>
        <a:p>
          <a:endParaRPr lang="en-US"/>
        </a:p>
      </dgm:t>
    </dgm:pt>
    <dgm:pt modelId="{B9A9AB90-780E-5B4B-83D4-6C29A07E7C32}" type="sibTrans" cxnId="{16793616-7BC4-E44B-A85E-217EAC792126}">
      <dgm:prSet/>
      <dgm:spPr/>
      <dgm:t>
        <a:bodyPr/>
        <a:lstStyle/>
        <a:p>
          <a:endParaRPr lang="en-US"/>
        </a:p>
      </dgm:t>
    </dgm:pt>
    <dgm:pt modelId="{AAD3C6F1-7001-1A4A-AD7D-03E2488543B4}">
      <dgm:prSet phldrT="[Text]"/>
      <dgm:spPr>
        <a:xfrm rot="5400000">
          <a:off x="3227286" y="-2455656"/>
          <a:ext cx="401256" cy="5316151"/>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Accepts applications and requests for capacity building services</a:t>
          </a:r>
        </a:p>
      </dgm:t>
    </dgm:pt>
    <dgm:pt modelId="{A7E100D6-E862-2F4E-8D91-85B7E79AE234}" type="parTrans" cxnId="{BB5FFF63-CF57-874F-84E9-AAF71EA9B3B2}">
      <dgm:prSet/>
      <dgm:spPr/>
      <dgm:t>
        <a:bodyPr/>
        <a:lstStyle/>
        <a:p>
          <a:endParaRPr lang="en-US"/>
        </a:p>
      </dgm:t>
    </dgm:pt>
    <dgm:pt modelId="{89C64DF9-7BB4-D349-9D51-21928A2747EC}" type="sibTrans" cxnId="{BB5FFF63-CF57-874F-84E9-AAF71EA9B3B2}">
      <dgm:prSet/>
      <dgm:spPr/>
      <dgm:t>
        <a:bodyPr/>
        <a:lstStyle/>
        <a:p>
          <a:endParaRPr lang="en-US"/>
        </a:p>
      </dgm:t>
    </dgm:pt>
    <dgm:pt modelId="{01424776-ACF0-8944-A028-66A5157F812E}">
      <dgm:prSet custT="1"/>
      <dgm:spPr>
        <a:xfrm rot="5400000">
          <a:off x="3035041" y="-173553"/>
          <a:ext cx="785745" cy="5300466"/>
        </a:xfrm>
        <a:prstGeom prst="round2SameRect">
          <a:avLst/>
        </a:prstGeom>
        <a:solidFill>
          <a:sysClr val="window" lastClr="FFFFFF">
            <a:alpha val="90000"/>
            <a:hueOff val="0"/>
            <a:satOff val="0"/>
            <a:lumOff val="0"/>
            <a:alphaOff val="0"/>
          </a:sysClr>
        </a:solidFill>
        <a:ln w="6350" cap="flat" cmpd="sng" algn="ctr">
          <a:solidFill>
            <a:srgbClr val="4472C4">
              <a:hueOff val="-5882676"/>
              <a:satOff val="-8182"/>
              <a:lumOff val="-3138"/>
              <a:alphaOff val="0"/>
            </a:srgbClr>
          </a:solidFill>
          <a:prstDash val="solid"/>
          <a:miter lim="800000"/>
        </a:ln>
        <a:effectLst/>
      </dgm:spPr>
      <dgm:t>
        <a:bodyPr/>
        <a:lstStyle/>
        <a:p>
          <a:pPr>
            <a:buChar char="•"/>
          </a:pPr>
          <a:r>
            <a:rPr lang="en-US" sz="1000" b="0">
              <a:solidFill>
                <a:sysClr val="windowText" lastClr="000000">
                  <a:hueOff val="0"/>
                  <a:satOff val="0"/>
                  <a:lumOff val="0"/>
                  <a:alphaOff val="0"/>
                </a:sysClr>
              </a:solidFill>
              <a:latin typeface="Calibri" panose="020F0502020204030204"/>
              <a:ea typeface="+mn-ea"/>
              <a:cs typeface="+mn-cs"/>
            </a:rPr>
            <a:t>Organizations are monitored for capacity growth and progress toward success measures</a:t>
          </a:r>
        </a:p>
      </dgm:t>
    </dgm:pt>
    <dgm:pt modelId="{DB964F29-62B0-D34B-880D-EEF735BEB98B}" type="parTrans" cxnId="{24DFF396-8C47-474D-ADED-41683D3C98B6}">
      <dgm:prSet/>
      <dgm:spPr/>
      <dgm:t>
        <a:bodyPr/>
        <a:lstStyle/>
        <a:p>
          <a:endParaRPr lang="en-US"/>
        </a:p>
      </dgm:t>
    </dgm:pt>
    <dgm:pt modelId="{CE019047-67DA-5D4C-975F-6EEAD9C621BD}" type="sibTrans" cxnId="{24DFF396-8C47-474D-ADED-41683D3C98B6}">
      <dgm:prSet/>
      <dgm:spPr/>
      <dgm:t>
        <a:bodyPr/>
        <a:lstStyle/>
        <a:p>
          <a:endParaRPr lang="en-US"/>
        </a:p>
      </dgm:t>
    </dgm:pt>
    <dgm:pt modelId="{66AF4721-DACD-1B47-BCDE-89EE77A4AB9F}">
      <dgm:prSet/>
      <dgm:spPr>
        <a:xfrm rot="5400000">
          <a:off x="3227286" y="-886301"/>
          <a:ext cx="401256" cy="5300466"/>
        </a:xfrm>
        <a:prstGeom prst="round2SameRect">
          <a:avLst/>
        </a:prstGeom>
        <a:solidFill>
          <a:sysClr val="window" lastClr="FFFFFF">
            <a:alpha val="90000"/>
            <a:hueOff val="0"/>
            <a:satOff val="0"/>
            <a:lumOff val="0"/>
            <a:alphaOff val="0"/>
          </a:sysClr>
        </a:solidFill>
        <a:ln w="6350" cap="flat" cmpd="sng" algn="ctr">
          <a:solidFill>
            <a:srgbClr val="4472C4">
              <a:hueOff val="-4412007"/>
              <a:satOff val="-6137"/>
              <a:lumOff val="-2353"/>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EXTERNAL - Services are delivered by outside consultants, coaches, mentors and ta providers</a:t>
          </a:r>
        </a:p>
      </dgm:t>
    </dgm:pt>
    <dgm:pt modelId="{F9756911-A7C0-1748-9633-4B3835712D44}" type="parTrans" cxnId="{11034598-F93C-6640-A1F9-A551D9B7DC5F}">
      <dgm:prSet/>
      <dgm:spPr/>
      <dgm:t>
        <a:bodyPr/>
        <a:lstStyle/>
        <a:p>
          <a:endParaRPr lang="en-US"/>
        </a:p>
      </dgm:t>
    </dgm:pt>
    <dgm:pt modelId="{CB63FCA3-C63F-7F4E-82AC-1BD6AB7FF179}" type="sibTrans" cxnId="{11034598-F93C-6640-A1F9-A551D9B7DC5F}">
      <dgm:prSet/>
      <dgm:spPr/>
      <dgm:t>
        <a:bodyPr/>
        <a:lstStyle/>
        <a:p>
          <a:endParaRPr lang="en-US"/>
        </a:p>
      </dgm:t>
    </dgm:pt>
    <dgm:pt modelId="{26281F9F-C689-4A4B-9F1C-0DE13775AFDF}">
      <dgm:prSet/>
      <dgm:spPr>
        <a:xfrm rot="5400000">
          <a:off x="3227286" y="-886301"/>
          <a:ext cx="401256" cy="5300466"/>
        </a:xfrm>
        <a:prstGeom prst="round2SameRect">
          <a:avLst/>
        </a:prstGeom>
        <a:solidFill>
          <a:sysClr val="window" lastClr="FFFFFF">
            <a:alpha val="90000"/>
            <a:hueOff val="0"/>
            <a:satOff val="0"/>
            <a:lumOff val="0"/>
            <a:alphaOff val="0"/>
          </a:sysClr>
        </a:solidFill>
        <a:ln w="6350" cap="flat" cmpd="sng" algn="ctr">
          <a:solidFill>
            <a:srgbClr val="4472C4">
              <a:hueOff val="-4412007"/>
              <a:satOff val="-6137"/>
              <a:lumOff val="-2353"/>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INTERNAL - classroom trainings/workshops provided as needed</a:t>
          </a:r>
        </a:p>
      </dgm:t>
    </dgm:pt>
    <dgm:pt modelId="{0DF56008-1EDB-2D47-A259-C6B2B2047759}" type="parTrans" cxnId="{14F9A483-E7A8-C64D-9380-BA05814064D4}">
      <dgm:prSet/>
      <dgm:spPr/>
      <dgm:t>
        <a:bodyPr/>
        <a:lstStyle/>
        <a:p>
          <a:endParaRPr lang="en-US"/>
        </a:p>
      </dgm:t>
    </dgm:pt>
    <dgm:pt modelId="{69850202-FA03-BD49-87A4-C35EB2706004}" type="sibTrans" cxnId="{14F9A483-E7A8-C64D-9380-BA05814064D4}">
      <dgm:prSet/>
      <dgm:spPr/>
      <dgm:t>
        <a:bodyPr/>
        <a:lstStyle/>
        <a:p>
          <a:endParaRPr lang="en-US"/>
        </a:p>
      </dgm:t>
    </dgm:pt>
    <dgm:pt modelId="{D7E7755E-91B8-6842-B7FA-5D6C7EB0CDE6}">
      <dgm:prSet/>
      <dgm:spPr>
        <a:xfrm rot="5400000">
          <a:off x="3227286" y="-1406805"/>
          <a:ext cx="401256" cy="5300466"/>
        </a:xfrm>
        <a:prstGeom prst="round2SameRect">
          <a:avLst/>
        </a:prstGeom>
        <a:solidFill>
          <a:sysClr val="window" lastClr="FFFFFF">
            <a:alpha val="90000"/>
            <a:hueOff val="0"/>
            <a:satOff val="0"/>
            <a:lumOff val="0"/>
            <a:alphaOff val="0"/>
          </a:sysClr>
        </a:solidFill>
        <a:ln w="6350" cap="flat" cmpd="sng" algn="ctr">
          <a:solidFill>
            <a:srgbClr val="4472C4">
              <a:hueOff val="-2941338"/>
              <a:satOff val="-4091"/>
              <a:lumOff val="-1569"/>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Organizations are connected with needed service providers</a:t>
          </a:r>
        </a:p>
      </dgm:t>
    </dgm:pt>
    <dgm:pt modelId="{8C1865AA-32AC-074C-8C24-BC1D45781972}" type="parTrans" cxnId="{B51F9AEE-CC76-154A-A922-397AB911DA75}">
      <dgm:prSet/>
      <dgm:spPr/>
      <dgm:t>
        <a:bodyPr/>
        <a:lstStyle/>
        <a:p>
          <a:endParaRPr lang="en-US"/>
        </a:p>
      </dgm:t>
    </dgm:pt>
    <dgm:pt modelId="{BF40DDF9-5855-ED42-A840-A2477FEAF766}" type="sibTrans" cxnId="{B51F9AEE-CC76-154A-A922-397AB911DA75}">
      <dgm:prSet/>
      <dgm:spPr/>
      <dgm:t>
        <a:bodyPr/>
        <a:lstStyle/>
        <a:p>
          <a:endParaRPr lang="en-US"/>
        </a:p>
      </dgm:t>
    </dgm:pt>
    <dgm:pt modelId="{AD84D22B-94F7-7A40-8840-0586FE19F71D}">
      <dgm:prSet/>
      <dgm:spPr>
        <a:xfrm rot="5400000">
          <a:off x="3256346" y="507797"/>
          <a:ext cx="401256" cy="5316151"/>
        </a:xfrm>
        <a:prstGeom prst="round2SameRect">
          <a:avLst/>
        </a:prstGeom>
        <a:solidFill>
          <a:sysClr val="window" lastClr="FFFFFF">
            <a:alpha val="90000"/>
            <a:hueOff val="0"/>
            <a:satOff val="0"/>
            <a:lumOff val="0"/>
            <a:alphaOff val="0"/>
          </a:sysClr>
        </a:solidFill>
        <a:ln w="6350" cap="flat" cmpd="sng" algn="ctr">
          <a:solidFill>
            <a:srgbClr val="4472C4">
              <a:hueOff val="-7353344"/>
              <a:satOff val="-10228"/>
              <a:lumOff val="-3922"/>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Services are paid for through a variety of means including vouchers, traditional fees, and "free" grant-funded servies</a:t>
          </a:r>
        </a:p>
      </dgm:t>
    </dgm:pt>
    <dgm:pt modelId="{5AADCC0D-126A-2D4A-A6A5-0B4309DA01A6}" type="parTrans" cxnId="{8D0585C0-7A82-EE4B-8D70-6DE35F7C2365}">
      <dgm:prSet/>
      <dgm:spPr/>
    </dgm:pt>
    <dgm:pt modelId="{A1A07E35-52C8-FE4E-8BC7-F7AEA13ADB8B}" type="sibTrans" cxnId="{8D0585C0-7A82-EE4B-8D70-6DE35F7C2365}">
      <dgm:prSet/>
      <dgm:spPr/>
    </dgm:pt>
    <dgm:pt modelId="{68AD254F-8967-5D49-A034-F1974CC26C16}">
      <dgm:prSet custT="1"/>
      <dgm:spPr>
        <a:xfrm rot="5400000">
          <a:off x="3035041" y="-173553"/>
          <a:ext cx="785745" cy="5300466"/>
        </a:xfrm>
        <a:prstGeom prst="round2SameRect">
          <a:avLst/>
        </a:prstGeom>
        <a:solidFill>
          <a:sysClr val="window" lastClr="FFFFFF">
            <a:alpha val="90000"/>
            <a:hueOff val="0"/>
            <a:satOff val="0"/>
            <a:lumOff val="0"/>
            <a:alphaOff val="0"/>
          </a:sysClr>
        </a:solidFill>
        <a:ln w="6350" cap="flat" cmpd="sng" algn="ctr">
          <a:solidFill>
            <a:srgbClr val="4472C4">
              <a:hueOff val="-5882676"/>
              <a:satOff val="-8182"/>
              <a:lumOff val="-3138"/>
              <a:alphaOff val="0"/>
            </a:srgbClr>
          </a:solidFill>
          <a:prstDash val="solid"/>
          <a:miter lim="800000"/>
        </a:ln>
        <a:effectLst/>
      </dgm:spPr>
      <dgm:t>
        <a:bodyPr/>
        <a:lstStyle/>
        <a:p>
          <a:pPr>
            <a:buChar char="•"/>
          </a:pPr>
          <a:r>
            <a:rPr lang="en-US" sz="1000" b="0">
              <a:solidFill>
                <a:sysClr val="windowText" lastClr="000000">
                  <a:hueOff val="0"/>
                  <a:satOff val="0"/>
                  <a:lumOff val="0"/>
                  <a:alphaOff val="0"/>
                </a:sysClr>
              </a:solidFill>
              <a:latin typeface="Calibri" panose="020F0502020204030204"/>
              <a:ea typeface="+mn-ea"/>
              <a:cs typeface="+mn-cs"/>
            </a:rPr>
            <a:t>Learnings and best practices are shared by both TA providers and users leading to continual improvements in the services delivered</a:t>
          </a:r>
        </a:p>
      </dgm:t>
    </dgm:pt>
    <dgm:pt modelId="{BEF5404B-6902-B04D-90A1-C78EB9EB848B}" type="parTrans" cxnId="{FED98D93-0F22-6945-BCF6-6D5912D20745}">
      <dgm:prSet/>
      <dgm:spPr/>
    </dgm:pt>
    <dgm:pt modelId="{627FDB2D-8D4E-2545-94DE-058C46A52402}" type="sibTrans" cxnId="{FED98D93-0F22-6945-BCF6-6D5912D20745}">
      <dgm:prSet/>
      <dgm:spPr/>
    </dgm:pt>
    <dgm:pt modelId="{A5727919-863A-2D4D-A5F2-BD2D4848DE53}" type="pres">
      <dgm:prSet presAssocID="{F6DE4CFD-CF3E-E048-B5E5-88E5AD8BD76A}" presName="linearFlow" presStyleCnt="0">
        <dgm:presLayoutVars>
          <dgm:dir/>
          <dgm:animLvl val="lvl"/>
          <dgm:resizeHandles val="exact"/>
        </dgm:presLayoutVars>
      </dgm:prSet>
      <dgm:spPr/>
    </dgm:pt>
    <dgm:pt modelId="{DC3918F2-382F-D340-BC3F-162284150537}" type="pres">
      <dgm:prSet presAssocID="{370AECF0-3E3B-0942-A4BF-CE11BA5EB030}" presName="composite" presStyleCnt="0"/>
      <dgm:spPr/>
    </dgm:pt>
    <dgm:pt modelId="{84F155F6-747C-0549-B1B4-8DFA719974B1}" type="pres">
      <dgm:prSet presAssocID="{370AECF0-3E3B-0942-A4BF-CE11BA5EB030}" presName="parentText" presStyleLbl="alignNode1" presStyleIdx="0" presStyleCnt="6" custScaleX="157978">
        <dgm:presLayoutVars>
          <dgm:chMax val="1"/>
          <dgm:bulletEnabled val="1"/>
        </dgm:presLayoutVars>
      </dgm:prSet>
      <dgm:spPr>
        <a:prstGeom prst="chevron">
          <a:avLst/>
        </a:prstGeom>
      </dgm:spPr>
    </dgm:pt>
    <dgm:pt modelId="{9B9ACAEB-8B74-5942-8A93-5688B53DF183}" type="pres">
      <dgm:prSet presAssocID="{370AECF0-3E3B-0942-A4BF-CE11BA5EB030}" presName="descendantText" presStyleLbl="alignAcc1" presStyleIdx="0" presStyleCnt="6" custScaleX="93546">
        <dgm:presLayoutVars>
          <dgm:bulletEnabled val="1"/>
        </dgm:presLayoutVars>
      </dgm:prSet>
      <dgm:spPr>
        <a:prstGeom prst="round2SameRect">
          <a:avLst/>
        </a:prstGeom>
      </dgm:spPr>
    </dgm:pt>
    <dgm:pt modelId="{3F911FBF-8F51-D342-8BF6-27D78AF02958}" type="pres">
      <dgm:prSet presAssocID="{6B9560E8-97CE-FA41-BF0D-641D1F6EFA2E}" presName="sp" presStyleCnt="0"/>
      <dgm:spPr/>
    </dgm:pt>
    <dgm:pt modelId="{1B4AA116-DD68-A348-8E09-5DFC81D71CF7}" type="pres">
      <dgm:prSet presAssocID="{A96EFC56-675A-694E-922F-AC04D92CB38C}" presName="composite" presStyleCnt="0"/>
      <dgm:spPr/>
    </dgm:pt>
    <dgm:pt modelId="{03388527-CA67-A743-85E0-F5B0C9E53960}" type="pres">
      <dgm:prSet presAssocID="{A96EFC56-675A-694E-922F-AC04D92CB38C}" presName="parentText" presStyleLbl="alignNode1" presStyleIdx="1" presStyleCnt="6" custScaleX="151030">
        <dgm:presLayoutVars>
          <dgm:chMax val="1"/>
          <dgm:bulletEnabled val="1"/>
        </dgm:presLayoutVars>
      </dgm:prSet>
      <dgm:spPr>
        <a:prstGeom prst="chevron">
          <a:avLst/>
        </a:prstGeom>
      </dgm:spPr>
    </dgm:pt>
    <dgm:pt modelId="{0F5CB02A-DABE-2E4E-987E-3609C20477B2}" type="pres">
      <dgm:prSet presAssocID="{A96EFC56-675A-694E-922F-AC04D92CB38C}" presName="descendantText" presStyleLbl="alignAcc1" presStyleIdx="1" presStyleCnt="6" custScaleX="90758">
        <dgm:presLayoutVars>
          <dgm:bulletEnabled val="1"/>
        </dgm:presLayoutVars>
      </dgm:prSet>
      <dgm:spPr>
        <a:prstGeom prst="round2SameRect">
          <a:avLst/>
        </a:prstGeom>
      </dgm:spPr>
    </dgm:pt>
    <dgm:pt modelId="{8D6C6032-2C0A-014B-879F-34E58E6D37BE}" type="pres">
      <dgm:prSet presAssocID="{B44C2982-9040-0645-B45E-61E5F20F81FC}" presName="sp" presStyleCnt="0"/>
      <dgm:spPr/>
    </dgm:pt>
    <dgm:pt modelId="{207F7E9E-610C-2243-A92A-6101D0FB2EF7}" type="pres">
      <dgm:prSet presAssocID="{36942640-D680-F449-9C0E-83129EC09984}" presName="composite" presStyleCnt="0"/>
      <dgm:spPr/>
    </dgm:pt>
    <dgm:pt modelId="{1455412A-77CA-CE4B-94FF-95B2D5ED164B}" type="pres">
      <dgm:prSet presAssocID="{36942640-D680-F449-9C0E-83129EC09984}" presName="parentText" presStyleLbl="alignNode1" presStyleIdx="2" presStyleCnt="6" custScaleX="157978">
        <dgm:presLayoutVars>
          <dgm:chMax val="1"/>
          <dgm:bulletEnabled val="1"/>
        </dgm:presLayoutVars>
      </dgm:prSet>
      <dgm:spPr>
        <a:prstGeom prst="chevron">
          <a:avLst/>
        </a:prstGeom>
      </dgm:spPr>
    </dgm:pt>
    <dgm:pt modelId="{1128FAF4-0B72-0340-9C79-58F306576462}" type="pres">
      <dgm:prSet presAssocID="{36942640-D680-F449-9C0E-83129EC09984}" presName="descendantText" presStyleLbl="alignAcc1" presStyleIdx="2" presStyleCnt="6" custScaleX="93270">
        <dgm:presLayoutVars>
          <dgm:bulletEnabled val="1"/>
        </dgm:presLayoutVars>
      </dgm:prSet>
      <dgm:spPr>
        <a:prstGeom prst="round2SameRect">
          <a:avLst/>
        </a:prstGeom>
      </dgm:spPr>
    </dgm:pt>
    <dgm:pt modelId="{B44B5E33-8214-514D-A1C7-6FB5E99D1027}" type="pres">
      <dgm:prSet presAssocID="{9D6B85EF-BF3C-304D-A007-4C4B79ECF4F8}" presName="sp" presStyleCnt="0"/>
      <dgm:spPr/>
    </dgm:pt>
    <dgm:pt modelId="{05C83490-79BE-8A49-B6BC-961B357FA109}" type="pres">
      <dgm:prSet presAssocID="{1DF41386-DEC1-A943-926A-459082673E85}" presName="composite" presStyleCnt="0"/>
      <dgm:spPr/>
    </dgm:pt>
    <dgm:pt modelId="{7672DC89-F10A-AD4C-900D-D41B86B3E297}" type="pres">
      <dgm:prSet presAssocID="{1DF41386-DEC1-A943-926A-459082673E85}" presName="parentText" presStyleLbl="alignNode1" presStyleIdx="3" presStyleCnt="6" custScaleX="157978">
        <dgm:presLayoutVars>
          <dgm:chMax val="1"/>
          <dgm:bulletEnabled val="1"/>
        </dgm:presLayoutVars>
      </dgm:prSet>
      <dgm:spPr>
        <a:prstGeom prst="chevron">
          <a:avLst/>
        </a:prstGeom>
      </dgm:spPr>
    </dgm:pt>
    <dgm:pt modelId="{2960B420-35AA-A149-8D16-86A87C0AC33E}" type="pres">
      <dgm:prSet presAssocID="{1DF41386-DEC1-A943-926A-459082673E85}" presName="descendantText" presStyleLbl="alignAcc1" presStyleIdx="3" presStyleCnt="6" custScaleX="93270">
        <dgm:presLayoutVars>
          <dgm:bulletEnabled val="1"/>
        </dgm:presLayoutVars>
      </dgm:prSet>
      <dgm:spPr>
        <a:prstGeom prst="round2SameRect">
          <a:avLst/>
        </a:prstGeom>
      </dgm:spPr>
    </dgm:pt>
    <dgm:pt modelId="{A825664C-E67D-C748-9A19-609AFC6450E7}" type="pres">
      <dgm:prSet presAssocID="{B59F57E8-B0BC-C04D-A16D-B40FA746C460}" presName="sp" presStyleCnt="0"/>
      <dgm:spPr/>
    </dgm:pt>
    <dgm:pt modelId="{5234C1E1-9B53-A34E-AB5A-6CA29FD8F6D2}" type="pres">
      <dgm:prSet presAssocID="{72C26FB8-58B1-954B-B80C-1F6AF1A65475}" presName="composite" presStyleCnt="0"/>
      <dgm:spPr/>
    </dgm:pt>
    <dgm:pt modelId="{4046E9ED-50FD-3B4B-867F-E958E0F6B9E1}" type="pres">
      <dgm:prSet presAssocID="{72C26FB8-58B1-954B-B80C-1F6AF1A65475}" presName="parentText" presStyleLbl="alignNode1" presStyleIdx="4" presStyleCnt="6" custScaleX="157978">
        <dgm:presLayoutVars>
          <dgm:chMax val="1"/>
          <dgm:bulletEnabled val="1"/>
        </dgm:presLayoutVars>
      </dgm:prSet>
      <dgm:spPr>
        <a:prstGeom prst="chevron">
          <a:avLst/>
        </a:prstGeom>
      </dgm:spPr>
    </dgm:pt>
    <dgm:pt modelId="{3C46B855-A775-1F4E-9775-121E6465027E}" type="pres">
      <dgm:prSet presAssocID="{72C26FB8-58B1-954B-B80C-1F6AF1A65475}" presName="descendantText" presStyleLbl="alignAcc1" presStyleIdx="4" presStyleCnt="6" custScaleX="93270" custScaleY="195821">
        <dgm:presLayoutVars>
          <dgm:bulletEnabled val="1"/>
        </dgm:presLayoutVars>
      </dgm:prSet>
      <dgm:spPr>
        <a:prstGeom prst="round2SameRect">
          <a:avLst/>
        </a:prstGeom>
      </dgm:spPr>
    </dgm:pt>
    <dgm:pt modelId="{0C13E818-6640-6242-8466-76C19E6F681B}" type="pres">
      <dgm:prSet presAssocID="{DE1CD542-895C-3C40-86B1-39C75DE94418}" presName="sp" presStyleCnt="0"/>
      <dgm:spPr/>
    </dgm:pt>
    <dgm:pt modelId="{51F11740-DC2C-8C45-876B-6B835436D4DC}" type="pres">
      <dgm:prSet presAssocID="{039B9CF7-657D-C543-8DDD-8B1A0E31FF16}" presName="composite" presStyleCnt="0"/>
      <dgm:spPr/>
    </dgm:pt>
    <dgm:pt modelId="{E6D1E775-9C35-8949-B294-456BA98D17A5}" type="pres">
      <dgm:prSet presAssocID="{039B9CF7-657D-C543-8DDD-8B1A0E31FF16}" presName="parentText" presStyleLbl="alignNode1" presStyleIdx="5" presStyleCnt="6" custScaleX="157978">
        <dgm:presLayoutVars>
          <dgm:chMax val="1"/>
          <dgm:bulletEnabled val="1"/>
        </dgm:presLayoutVars>
      </dgm:prSet>
      <dgm:spPr>
        <a:prstGeom prst="chevron">
          <a:avLst/>
        </a:prstGeom>
      </dgm:spPr>
    </dgm:pt>
    <dgm:pt modelId="{9282973F-F45F-8348-8A99-2A3F2B6020D1}" type="pres">
      <dgm:prSet presAssocID="{039B9CF7-657D-C543-8DDD-8B1A0E31FF16}" presName="descendantText" presStyleLbl="alignAcc1" presStyleIdx="5" presStyleCnt="6" custScaleX="93546" custLinFactNeighborX="1091" custLinFactNeighborY="42040">
        <dgm:presLayoutVars>
          <dgm:bulletEnabled val="1"/>
        </dgm:presLayoutVars>
      </dgm:prSet>
      <dgm:spPr>
        <a:prstGeom prst="round2SameRect">
          <a:avLst/>
        </a:prstGeom>
      </dgm:spPr>
    </dgm:pt>
  </dgm:ptLst>
  <dgm:cxnLst>
    <dgm:cxn modelId="{D3155704-9659-6442-A4CE-ADB808D5AF01}" type="presOf" srcId="{68AD254F-8967-5D49-A034-F1974CC26C16}" destId="{3C46B855-A775-1F4E-9775-121E6465027E}" srcOrd="0" destOrd="2" presId="urn:microsoft.com/office/officeart/2005/8/layout/chevron2"/>
    <dgm:cxn modelId="{63326204-879B-AF4A-9EFE-ACD7C7ECF6D9}" type="presOf" srcId="{F6DE4CFD-CF3E-E048-B5E5-88E5AD8BD76A}" destId="{A5727919-863A-2D4D-A5F2-BD2D4848DE53}" srcOrd="0" destOrd="0" presId="urn:microsoft.com/office/officeart/2005/8/layout/chevron2"/>
    <dgm:cxn modelId="{16793616-7BC4-E44B-A85E-217EAC792126}" srcId="{72C26FB8-58B1-954B-B80C-1F6AF1A65475}" destId="{CB03B2C3-89A3-8F4D-B765-571E4A640410}" srcOrd="0" destOrd="0" parTransId="{E0C8A6EA-2062-9249-A63F-2C9EC2E5DB40}" sibTransId="{B9A9AB90-780E-5B4B-83D4-6C29A07E7C32}"/>
    <dgm:cxn modelId="{D02BE617-6D4C-9548-B91E-B4080CE363B7}" type="presOf" srcId="{1DF41386-DEC1-A943-926A-459082673E85}" destId="{7672DC89-F10A-AD4C-900D-D41B86B3E297}" srcOrd="0" destOrd="0" presId="urn:microsoft.com/office/officeart/2005/8/layout/chevron2"/>
    <dgm:cxn modelId="{31080C1F-6326-554A-9385-11FC9A13D9BE}" type="presOf" srcId="{AAD3C6F1-7001-1A4A-AD7D-03E2488543B4}" destId="{9B9ACAEB-8B74-5942-8A93-5688B53DF183}" srcOrd="0" destOrd="1" presId="urn:microsoft.com/office/officeart/2005/8/layout/chevron2"/>
    <dgm:cxn modelId="{0C314F25-F4FA-1344-ADC4-E35B652159AC}" type="presOf" srcId="{36942640-D680-F449-9C0E-83129EC09984}" destId="{1455412A-77CA-CE4B-94FF-95B2D5ED164B}" srcOrd="0" destOrd="0" presId="urn:microsoft.com/office/officeart/2005/8/layout/chevron2"/>
    <dgm:cxn modelId="{2D298C30-4C10-0E47-A6EF-611F59F1156D}" type="presOf" srcId="{3258599D-32E3-954A-92B5-8FFCC0BCF0D5}" destId="{1128FAF4-0B72-0340-9C79-58F306576462}" srcOrd="0" destOrd="0" presId="urn:microsoft.com/office/officeart/2005/8/layout/chevron2"/>
    <dgm:cxn modelId="{C8C15F31-C32A-A148-8A91-E14DD48D55D7}" type="presOf" srcId="{370AECF0-3E3B-0942-A4BF-CE11BA5EB030}" destId="{84F155F6-747C-0549-B1B4-8DFA719974B1}" srcOrd="0" destOrd="0" presId="urn:microsoft.com/office/officeart/2005/8/layout/chevron2"/>
    <dgm:cxn modelId="{F3519035-0FF3-C44B-8894-D2ACE2D69AB2}" srcId="{A96EFC56-675A-694E-922F-AC04D92CB38C}" destId="{5CC8B9D7-B494-2442-8206-ECA4AF96003E}" srcOrd="1" destOrd="0" parTransId="{EFE138DF-7F6A-814F-B7BF-1ABD42C87E61}" sibTransId="{974ED005-6859-8C4B-A8EC-D4AE3716A68F}"/>
    <dgm:cxn modelId="{A3A22140-CE24-E44D-981F-002D4D93EB23}" srcId="{F6DE4CFD-CF3E-E048-B5E5-88E5AD8BD76A}" destId="{A96EFC56-675A-694E-922F-AC04D92CB38C}" srcOrd="1" destOrd="0" parTransId="{34D6A5A2-967B-1943-B47B-35F254BFDBB6}" sibTransId="{B44C2982-9040-0645-B45E-61E5F20F81FC}"/>
    <dgm:cxn modelId="{15F01F43-6A10-ED4C-9D8A-B63D1AC96211}" type="presOf" srcId="{AD84D22B-94F7-7A40-8840-0586FE19F71D}" destId="{9282973F-F45F-8348-8A99-2A3F2B6020D1}" srcOrd="0" destOrd="0" presId="urn:microsoft.com/office/officeart/2005/8/layout/chevron2"/>
    <dgm:cxn modelId="{417E3845-1C77-A14F-9343-B5F883EE64B3}" type="presOf" srcId="{A96EFC56-675A-694E-922F-AC04D92CB38C}" destId="{03388527-CA67-A743-85E0-F5B0C9E53960}" srcOrd="0" destOrd="0" presId="urn:microsoft.com/office/officeart/2005/8/layout/chevron2"/>
    <dgm:cxn modelId="{532F6B4E-4640-3F4D-A54B-74350C512A5E}" srcId="{F6DE4CFD-CF3E-E048-B5E5-88E5AD8BD76A}" destId="{370AECF0-3E3B-0942-A4BF-CE11BA5EB030}" srcOrd="0" destOrd="0" parTransId="{88A2AEB4-8FC6-3C4B-A35A-12EC3C53A6A2}" sibTransId="{6B9560E8-97CE-FA41-BF0D-641D1F6EFA2E}"/>
    <dgm:cxn modelId="{10B0AC5B-FDAD-C245-AA0A-9D6416B31F04}" srcId="{F6DE4CFD-CF3E-E048-B5E5-88E5AD8BD76A}" destId="{039B9CF7-657D-C543-8DDD-8B1A0E31FF16}" srcOrd="5" destOrd="0" parTransId="{393FC473-2E15-884C-BFFD-B4CE4AD97D84}" sibTransId="{9207A009-D4F6-9F4B-AE84-4DD899FBFE45}"/>
    <dgm:cxn modelId="{BB5FFF63-CF57-874F-84E9-AAF71EA9B3B2}" srcId="{370AECF0-3E3B-0942-A4BF-CE11BA5EB030}" destId="{AAD3C6F1-7001-1A4A-AD7D-03E2488543B4}" srcOrd="1" destOrd="0" parTransId="{A7E100D6-E862-2F4E-8D91-85B7E79AE234}" sibTransId="{89C64DF9-7BB4-D349-9D51-21928A2747EC}"/>
    <dgm:cxn modelId="{95E34669-0847-EF46-AC5F-E65BD1BE9F61}" type="presOf" srcId="{5CC8B9D7-B494-2442-8206-ECA4AF96003E}" destId="{0F5CB02A-DABE-2E4E-987E-3609C20477B2}" srcOrd="0" destOrd="1" presId="urn:microsoft.com/office/officeart/2005/8/layout/chevron2"/>
    <dgm:cxn modelId="{16BF1870-9E5D-CC46-837C-D7B12C79733C}" srcId="{F6DE4CFD-CF3E-E048-B5E5-88E5AD8BD76A}" destId="{72C26FB8-58B1-954B-B80C-1F6AF1A65475}" srcOrd="4" destOrd="0" parTransId="{12A7936E-EFCB-8D44-AADD-CAB95C67B9A5}" sibTransId="{DE1CD542-895C-3C40-86B1-39C75DE94418}"/>
    <dgm:cxn modelId="{9C2D6970-0518-1B45-8676-2420BB6AF71F}" srcId="{F6DE4CFD-CF3E-E048-B5E5-88E5AD8BD76A}" destId="{36942640-D680-F449-9C0E-83129EC09984}" srcOrd="2" destOrd="0" parTransId="{824477AE-A8A2-B649-9BA7-B4C085D83D42}" sibTransId="{9D6B85EF-BF3C-304D-A007-4C4B79ECF4F8}"/>
    <dgm:cxn modelId="{14F9A483-E7A8-C64D-9380-BA05814064D4}" srcId="{1DF41386-DEC1-A943-926A-459082673E85}" destId="{26281F9F-C689-4A4B-9F1C-0DE13775AFDF}" srcOrd="1" destOrd="0" parTransId="{0DF56008-1EDB-2D47-A259-C6B2B2047759}" sibTransId="{69850202-FA03-BD49-87A4-C35EB2706004}"/>
    <dgm:cxn modelId="{9D28498C-0528-1441-AD13-3293A91C6AB6}" type="presOf" srcId="{039B9CF7-657D-C543-8DDD-8B1A0E31FF16}" destId="{E6D1E775-9C35-8949-B294-456BA98D17A5}" srcOrd="0" destOrd="0" presId="urn:microsoft.com/office/officeart/2005/8/layout/chevron2"/>
    <dgm:cxn modelId="{B89D2893-004B-6849-A65C-66197CE9D112}" srcId="{36942640-D680-F449-9C0E-83129EC09984}" destId="{3258599D-32E3-954A-92B5-8FFCC0BCF0D5}" srcOrd="0" destOrd="0" parTransId="{EE51CFAE-0423-7543-95CD-F86E19E5049C}" sibTransId="{692343F1-BF49-444D-82F8-728DE021233B}"/>
    <dgm:cxn modelId="{FED98D93-0F22-6945-BCF6-6D5912D20745}" srcId="{72C26FB8-58B1-954B-B80C-1F6AF1A65475}" destId="{68AD254F-8967-5D49-A034-F1974CC26C16}" srcOrd="2" destOrd="0" parTransId="{BEF5404B-6902-B04D-90A1-C78EB9EB848B}" sibTransId="{627FDB2D-8D4E-2545-94DE-058C46A52402}"/>
    <dgm:cxn modelId="{7E9BA793-4FF8-E340-89EF-76793E2C0CA7}" srcId="{370AECF0-3E3B-0942-A4BF-CE11BA5EB030}" destId="{6F83E019-E058-504B-8825-400DBBF7F5BA}" srcOrd="0" destOrd="0" parTransId="{BD4502D0-B7EF-6042-8FFB-BF49E4A6783A}" sibTransId="{69747AB7-6FAF-5D43-A205-48A507AAD0E9}"/>
    <dgm:cxn modelId="{24DFF396-8C47-474D-ADED-41683D3C98B6}" srcId="{72C26FB8-58B1-954B-B80C-1F6AF1A65475}" destId="{01424776-ACF0-8944-A028-66A5157F812E}" srcOrd="1" destOrd="0" parTransId="{DB964F29-62B0-D34B-880D-EEF735BEB98B}" sibTransId="{CE019047-67DA-5D4C-975F-6EEAD9C621BD}"/>
    <dgm:cxn modelId="{B6B62C97-EF34-F04C-A502-BA769CE9FC0E}" type="presOf" srcId="{D7E7755E-91B8-6842-B7FA-5D6C7EB0CDE6}" destId="{1128FAF4-0B72-0340-9C79-58F306576462}" srcOrd="0" destOrd="1" presId="urn:microsoft.com/office/officeart/2005/8/layout/chevron2"/>
    <dgm:cxn modelId="{11034598-F93C-6640-A1F9-A551D9B7DC5F}" srcId="{1DF41386-DEC1-A943-926A-459082673E85}" destId="{66AF4721-DACD-1B47-BCDE-89EE77A4AB9F}" srcOrd="0" destOrd="0" parTransId="{F9756911-A7C0-1748-9633-4B3835712D44}" sibTransId="{CB63FCA3-C63F-7F4E-82AC-1BD6AB7FF179}"/>
    <dgm:cxn modelId="{206DBB9D-7783-6448-8FFF-F6C106BA06E4}" type="presOf" srcId="{CB03B2C3-89A3-8F4D-B765-571E4A640410}" destId="{3C46B855-A775-1F4E-9775-121E6465027E}" srcOrd="0" destOrd="0" presId="urn:microsoft.com/office/officeart/2005/8/layout/chevron2"/>
    <dgm:cxn modelId="{E9E003B0-8632-9E4D-80A7-DF918AE474BE}" type="presOf" srcId="{01424776-ACF0-8944-A028-66A5157F812E}" destId="{3C46B855-A775-1F4E-9775-121E6465027E}" srcOrd="0" destOrd="1" presId="urn:microsoft.com/office/officeart/2005/8/layout/chevron2"/>
    <dgm:cxn modelId="{8D0585C0-7A82-EE4B-8D70-6DE35F7C2365}" srcId="{039B9CF7-657D-C543-8DDD-8B1A0E31FF16}" destId="{AD84D22B-94F7-7A40-8840-0586FE19F71D}" srcOrd="0" destOrd="0" parTransId="{5AADCC0D-126A-2D4A-A6A5-0B4309DA01A6}" sibTransId="{A1A07E35-52C8-FE4E-8BC7-F7AEA13ADB8B}"/>
    <dgm:cxn modelId="{2642E7C2-73A6-834E-A70E-674CCC571C6E}" type="presOf" srcId="{66AF4721-DACD-1B47-BCDE-89EE77A4AB9F}" destId="{2960B420-35AA-A149-8D16-86A87C0AC33E}" srcOrd="0" destOrd="0" presId="urn:microsoft.com/office/officeart/2005/8/layout/chevron2"/>
    <dgm:cxn modelId="{CA5B0BD9-FD2E-5047-A166-363198BEF6E6}" type="presOf" srcId="{72C26FB8-58B1-954B-B80C-1F6AF1A65475}" destId="{4046E9ED-50FD-3B4B-867F-E958E0F6B9E1}" srcOrd="0" destOrd="0" presId="urn:microsoft.com/office/officeart/2005/8/layout/chevron2"/>
    <dgm:cxn modelId="{652176E5-8A3E-154D-BFBD-1FC81B9D2A9D}" srcId="{A96EFC56-675A-694E-922F-AC04D92CB38C}" destId="{A35D2A42-FD2D-724B-9023-D4C7E542269C}" srcOrd="0" destOrd="0" parTransId="{BAC44A4C-7FFE-E54A-B88C-B92AADE9B300}" sibTransId="{17F4B580-849B-EB40-BD06-2760C197923F}"/>
    <dgm:cxn modelId="{6D286CE7-F4C9-B94F-876D-F24BC837B27B}" type="presOf" srcId="{A35D2A42-FD2D-724B-9023-D4C7E542269C}" destId="{0F5CB02A-DABE-2E4E-987E-3609C20477B2}" srcOrd="0" destOrd="0" presId="urn:microsoft.com/office/officeart/2005/8/layout/chevron2"/>
    <dgm:cxn modelId="{B51F9AEE-CC76-154A-A922-397AB911DA75}" srcId="{36942640-D680-F449-9C0E-83129EC09984}" destId="{D7E7755E-91B8-6842-B7FA-5D6C7EB0CDE6}" srcOrd="1" destOrd="0" parTransId="{8C1865AA-32AC-074C-8C24-BC1D45781972}" sibTransId="{BF40DDF9-5855-ED42-A840-A2477FEAF766}"/>
    <dgm:cxn modelId="{F0F85AF3-BFCF-EF4A-BC54-C9F66007A1F6}" type="presOf" srcId="{6F83E019-E058-504B-8825-400DBBF7F5BA}" destId="{9B9ACAEB-8B74-5942-8A93-5688B53DF183}" srcOrd="0" destOrd="0" presId="urn:microsoft.com/office/officeart/2005/8/layout/chevron2"/>
    <dgm:cxn modelId="{9B16DAFC-A9A8-9647-A00C-99362A82A2EB}" type="presOf" srcId="{26281F9F-C689-4A4B-9F1C-0DE13775AFDF}" destId="{2960B420-35AA-A149-8D16-86A87C0AC33E}" srcOrd="0" destOrd="1" presId="urn:microsoft.com/office/officeart/2005/8/layout/chevron2"/>
    <dgm:cxn modelId="{62299CFF-C9B4-6D47-AF78-82F0DD30B4F1}" srcId="{F6DE4CFD-CF3E-E048-B5E5-88E5AD8BD76A}" destId="{1DF41386-DEC1-A943-926A-459082673E85}" srcOrd="3" destOrd="0" parTransId="{C94AE5A3-CAB3-F941-B69B-9181820A5B9A}" sibTransId="{B59F57E8-B0BC-C04D-A16D-B40FA746C460}"/>
    <dgm:cxn modelId="{1C8235A6-DBC6-CB48-BDDB-C8C69C2DA37B}" type="presParOf" srcId="{A5727919-863A-2D4D-A5F2-BD2D4848DE53}" destId="{DC3918F2-382F-D340-BC3F-162284150537}" srcOrd="0" destOrd="0" presId="urn:microsoft.com/office/officeart/2005/8/layout/chevron2"/>
    <dgm:cxn modelId="{22BED611-A87E-144D-841B-74CB21D6C8F5}" type="presParOf" srcId="{DC3918F2-382F-D340-BC3F-162284150537}" destId="{84F155F6-747C-0549-B1B4-8DFA719974B1}" srcOrd="0" destOrd="0" presId="urn:microsoft.com/office/officeart/2005/8/layout/chevron2"/>
    <dgm:cxn modelId="{BF0C93EA-C641-A048-AB17-BADD9178D92D}" type="presParOf" srcId="{DC3918F2-382F-D340-BC3F-162284150537}" destId="{9B9ACAEB-8B74-5942-8A93-5688B53DF183}" srcOrd="1" destOrd="0" presId="urn:microsoft.com/office/officeart/2005/8/layout/chevron2"/>
    <dgm:cxn modelId="{4A78D950-82D8-674D-9F1A-7846C27D8804}" type="presParOf" srcId="{A5727919-863A-2D4D-A5F2-BD2D4848DE53}" destId="{3F911FBF-8F51-D342-8BF6-27D78AF02958}" srcOrd="1" destOrd="0" presId="urn:microsoft.com/office/officeart/2005/8/layout/chevron2"/>
    <dgm:cxn modelId="{AC82AA56-B9E2-9548-B61B-FFE8D923AFFD}" type="presParOf" srcId="{A5727919-863A-2D4D-A5F2-BD2D4848DE53}" destId="{1B4AA116-DD68-A348-8E09-5DFC81D71CF7}" srcOrd="2" destOrd="0" presId="urn:microsoft.com/office/officeart/2005/8/layout/chevron2"/>
    <dgm:cxn modelId="{2ED8B914-A1A9-7B4D-B2CF-BCF4A40F0277}" type="presParOf" srcId="{1B4AA116-DD68-A348-8E09-5DFC81D71CF7}" destId="{03388527-CA67-A743-85E0-F5B0C9E53960}" srcOrd="0" destOrd="0" presId="urn:microsoft.com/office/officeart/2005/8/layout/chevron2"/>
    <dgm:cxn modelId="{C3C997A2-7C41-5448-BE92-4F9AE4DC26C2}" type="presParOf" srcId="{1B4AA116-DD68-A348-8E09-5DFC81D71CF7}" destId="{0F5CB02A-DABE-2E4E-987E-3609C20477B2}" srcOrd="1" destOrd="0" presId="urn:microsoft.com/office/officeart/2005/8/layout/chevron2"/>
    <dgm:cxn modelId="{01DE674C-8C64-9D42-BA76-038DCDCDC7C7}" type="presParOf" srcId="{A5727919-863A-2D4D-A5F2-BD2D4848DE53}" destId="{8D6C6032-2C0A-014B-879F-34E58E6D37BE}" srcOrd="3" destOrd="0" presId="urn:microsoft.com/office/officeart/2005/8/layout/chevron2"/>
    <dgm:cxn modelId="{298FF2F9-8437-6E40-8C05-783B4809642A}" type="presParOf" srcId="{A5727919-863A-2D4D-A5F2-BD2D4848DE53}" destId="{207F7E9E-610C-2243-A92A-6101D0FB2EF7}" srcOrd="4" destOrd="0" presId="urn:microsoft.com/office/officeart/2005/8/layout/chevron2"/>
    <dgm:cxn modelId="{0C8577EE-CE10-D844-BFCD-1ECDAA6F1C0A}" type="presParOf" srcId="{207F7E9E-610C-2243-A92A-6101D0FB2EF7}" destId="{1455412A-77CA-CE4B-94FF-95B2D5ED164B}" srcOrd="0" destOrd="0" presId="urn:microsoft.com/office/officeart/2005/8/layout/chevron2"/>
    <dgm:cxn modelId="{FA9931D6-D76A-C341-B1E7-BDEE29585AB9}" type="presParOf" srcId="{207F7E9E-610C-2243-A92A-6101D0FB2EF7}" destId="{1128FAF4-0B72-0340-9C79-58F306576462}" srcOrd="1" destOrd="0" presId="urn:microsoft.com/office/officeart/2005/8/layout/chevron2"/>
    <dgm:cxn modelId="{510BB1EC-45F0-4F4D-BE77-29FC79581AA6}" type="presParOf" srcId="{A5727919-863A-2D4D-A5F2-BD2D4848DE53}" destId="{B44B5E33-8214-514D-A1C7-6FB5E99D1027}" srcOrd="5" destOrd="0" presId="urn:microsoft.com/office/officeart/2005/8/layout/chevron2"/>
    <dgm:cxn modelId="{378ADAB0-12D2-9041-A331-970B7FA0F250}" type="presParOf" srcId="{A5727919-863A-2D4D-A5F2-BD2D4848DE53}" destId="{05C83490-79BE-8A49-B6BC-961B357FA109}" srcOrd="6" destOrd="0" presId="urn:microsoft.com/office/officeart/2005/8/layout/chevron2"/>
    <dgm:cxn modelId="{2A21737B-7A1B-DC49-93A6-154922DF52F2}" type="presParOf" srcId="{05C83490-79BE-8A49-B6BC-961B357FA109}" destId="{7672DC89-F10A-AD4C-900D-D41B86B3E297}" srcOrd="0" destOrd="0" presId="urn:microsoft.com/office/officeart/2005/8/layout/chevron2"/>
    <dgm:cxn modelId="{EB18ED84-6EE8-964C-B187-90DB97587FC1}" type="presParOf" srcId="{05C83490-79BE-8A49-B6BC-961B357FA109}" destId="{2960B420-35AA-A149-8D16-86A87C0AC33E}" srcOrd="1" destOrd="0" presId="urn:microsoft.com/office/officeart/2005/8/layout/chevron2"/>
    <dgm:cxn modelId="{3EC0309E-F7D7-F341-9663-776EE9176763}" type="presParOf" srcId="{A5727919-863A-2D4D-A5F2-BD2D4848DE53}" destId="{A825664C-E67D-C748-9A19-609AFC6450E7}" srcOrd="7" destOrd="0" presId="urn:microsoft.com/office/officeart/2005/8/layout/chevron2"/>
    <dgm:cxn modelId="{20A41147-C1BA-A540-8A77-3332704B9E0A}" type="presParOf" srcId="{A5727919-863A-2D4D-A5F2-BD2D4848DE53}" destId="{5234C1E1-9B53-A34E-AB5A-6CA29FD8F6D2}" srcOrd="8" destOrd="0" presId="urn:microsoft.com/office/officeart/2005/8/layout/chevron2"/>
    <dgm:cxn modelId="{18F57672-F7C2-8245-97AB-C2516D020DE5}" type="presParOf" srcId="{5234C1E1-9B53-A34E-AB5A-6CA29FD8F6D2}" destId="{4046E9ED-50FD-3B4B-867F-E958E0F6B9E1}" srcOrd="0" destOrd="0" presId="urn:microsoft.com/office/officeart/2005/8/layout/chevron2"/>
    <dgm:cxn modelId="{CF3B4F1D-F654-2F45-A13B-37918663B194}" type="presParOf" srcId="{5234C1E1-9B53-A34E-AB5A-6CA29FD8F6D2}" destId="{3C46B855-A775-1F4E-9775-121E6465027E}" srcOrd="1" destOrd="0" presId="urn:microsoft.com/office/officeart/2005/8/layout/chevron2"/>
    <dgm:cxn modelId="{6921C089-962D-AE40-815C-BDA47349124E}" type="presParOf" srcId="{A5727919-863A-2D4D-A5F2-BD2D4848DE53}" destId="{0C13E818-6640-6242-8466-76C19E6F681B}" srcOrd="9" destOrd="0" presId="urn:microsoft.com/office/officeart/2005/8/layout/chevron2"/>
    <dgm:cxn modelId="{98BE7C40-EAA5-BA42-B2C2-6AC55F449DD9}" type="presParOf" srcId="{A5727919-863A-2D4D-A5F2-BD2D4848DE53}" destId="{51F11740-DC2C-8C45-876B-6B835436D4DC}" srcOrd="10" destOrd="0" presId="urn:microsoft.com/office/officeart/2005/8/layout/chevron2"/>
    <dgm:cxn modelId="{ED594AF5-6726-A949-A63B-434F04AE7A38}" type="presParOf" srcId="{51F11740-DC2C-8C45-876B-6B835436D4DC}" destId="{E6D1E775-9C35-8949-B294-456BA98D17A5}" srcOrd="0" destOrd="0" presId="urn:microsoft.com/office/officeart/2005/8/layout/chevron2"/>
    <dgm:cxn modelId="{F0054466-F375-DC48-BCFA-B76361A0F5C5}" type="presParOf" srcId="{51F11740-DC2C-8C45-876B-6B835436D4DC}" destId="{9282973F-F45F-8348-8A99-2A3F2B6020D1}"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F155F6-747C-0549-B1B4-8DFA719974B1}">
      <dsp:nvSpPr>
        <dsp:cNvPr id="0" name=""/>
        <dsp:cNvSpPr/>
      </dsp:nvSpPr>
      <dsp:spPr>
        <a:xfrm rot="5400000">
          <a:off x="61720" y="-30879"/>
          <a:ext cx="617318" cy="682659"/>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Calibri" panose="020F0502020204030204"/>
              <a:ea typeface="+mn-ea"/>
              <a:cs typeface="+mn-cs"/>
            </a:rPr>
            <a:t>Intake</a:t>
          </a:r>
        </a:p>
      </dsp:txBody>
      <dsp:txXfrm rot="-5400000">
        <a:off x="29050" y="1791"/>
        <a:ext cx="682659" cy="617318"/>
      </dsp:txXfrm>
    </dsp:sp>
    <dsp:sp modelId="{9B9ACAEB-8B74-5942-8A93-5688B53DF183}">
      <dsp:nvSpPr>
        <dsp:cNvPr id="0" name=""/>
        <dsp:cNvSpPr/>
      </dsp:nvSpPr>
      <dsp:spPr>
        <a:xfrm rot="5400000">
          <a:off x="3226958" y="-2455359"/>
          <a:ext cx="401256" cy="531555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Coordinating entity acts as central intake</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Accepts applications and requests for capacity building services</a:t>
          </a:r>
        </a:p>
      </dsp:txBody>
      <dsp:txXfrm rot="-5400000">
        <a:off x="769808" y="21379"/>
        <a:ext cx="5295969" cy="362080"/>
      </dsp:txXfrm>
    </dsp:sp>
    <dsp:sp modelId="{03388527-CA67-A743-85E0-F5B0C9E53960}">
      <dsp:nvSpPr>
        <dsp:cNvPr id="0" name=""/>
        <dsp:cNvSpPr/>
      </dsp:nvSpPr>
      <dsp:spPr>
        <a:xfrm rot="5400000">
          <a:off x="46708" y="504636"/>
          <a:ext cx="617318" cy="652635"/>
        </a:xfrm>
        <a:prstGeom prst="chevron">
          <a:avLst/>
        </a:prstGeom>
        <a:gradFill rotWithShape="0">
          <a:gsLst>
            <a:gs pos="0">
              <a:srgbClr val="4472C4">
                <a:hueOff val="-1470669"/>
                <a:satOff val="-2046"/>
                <a:lumOff val="-784"/>
                <a:alphaOff val="0"/>
                <a:lumMod val="110000"/>
                <a:satMod val="105000"/>
                <a:tint val="67000"/>
              </a:srgbClr>
            </a:gs>
            <a:gs pos="50000">
              <a:srgbClr val="4472C4">
                <a:hueOff val="-1470669"/>
                <a:satOff val="-2046"/>
                <a:lumOff val="-784"/>
                <a:alphaOff val="0"/>
                <a:lumMod val="105000"/>
                <a:satMod val="103000"/>
                <a:tint val="73000"/>
              </a:srgbClr>
            </a:gs>
            <a:gs pos="100000">
              <a:srgbClr val="4472C4">
                <a:hueOff val="-1470669"/>
                <a:satOff val="-2046"/>
                <a:lumOff val="-784"/>
                <a:alphaOff val="0"/>
                <a:lumMod val="105000"/>
                <a:satMod val="109000"/>
                <a:tint val="81000"/>
              </a:srgbClr>
            </a:gs>
          </a:gsLst>
          <a:lin ang="5400000" scaled="0"/>
        </a:gradFill>
        <a:ln w="6350" cap="flat" cmpd="sng" algn="ctr">
          <a:solidFill>
            <a:srgbClr val="4472C4">
              <a:hueOff val="-1470669"/>
              <a:satOff val="-2046"/>
              <a:lumOff val="-784"/>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latin typeface="Calibri" panose="020F0502020204030204"/>
              <a:ea typeface="+mn-ea"/>
              <a:cs typeface="+mn-cs"/>
            </a:rPr>
            <a:t> </a:t>
          </a:r>
          <a:r>
            <a:rPr lang="en-US" sz="950" b="1" kern="1200">
              <a:solidFill>
                <a:sysClr val="windowText" lastClr="000000"/>
              </a:solidFill>
              <a:latin typeface="Calibri" panose="020F0502020204030204"/>
              <a:ea typeface="+mn-ea"/>
              <a:cs typeface="+mn-cs"/>
            </a:rPr>
            <a:t>Assessment</a:t>
          </a:r>
        </a:p>
      </dsp:txBody>
      <dsp:txXfrm rot="-5400000">
        <a:off x="29050" y="522294"/>
        <a:ext cx="652635" cy="617318"/>
      </dsp:txXfrm>
    </dsp:sp>
    <dsp:sp modelId="{0F5CB02A-DABE-2E4E-987E-3609C20477B2}">
      <dsp:nvSpPr>
        <dsp:cNvPr id="0" name=""/>
        <dsp:cNvSpPr/>
      </dsp:nvSpPr>
      <dsp:spPr>
        <a:xfrm rot="5400000">
          <a:off x="3145355" y="-1795197"/>
          <a:ext cx="401467" cy="5036452"/>
        </a:xfrm>
        <a:prstGeom prst="round2SameRect">
          <a:avLst/>
        </a:prstGeom>
        <a:solidFill>
          <a:sysClr val="window" lastClr="FFFFFF">
            <a:alpha val="90000"/>
            <a:hueOff val="0"/>
            <a:satOff val="0"/>
            <a:lumOff val="0"/>
            <a:alphaOff val="0"/>
          </a:sysClr>
        </a:solidFill>
        <a:ln w="6350" cap="flat" cmpd="sng" algn="ctr">
          <a:solidFill>
            <a:srgbClr val="4472C4">
              <a:hueOff val="-1470669"/>
              <a:satOff val="-2046"/>
              <a:lumOff val="-784"/>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Organizations can opt to undergo a general nonprofit guided self-assessment,</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Followed by a community development-specific assessment (GROs &amp; CDOs at different scales)</a:t>
          </a:r>
        </a:p>
      </dsp:txBody>
      <dsp:txXfrm rot="-5400000">
        <a:off x="827863" y="541893"/>
        <a:ext cx="5016854" cy="362271"/>
      </dsp:txXfrm>
    </dsp:sp>
    <dsp:sp modelId="{1455412A-77CA-CE4B-94FF-95B2D5ED164B}">
      <dsp:nvSpPr>
        <dsp:cNvPr id="0" name=""/>
        <dsp:cNvSpPr/>
      </dsp:nvSpPr>
      <dsp:spPr>
        <a:xfrm rot="5400000">
          <a:off x="61720" y="1010128"/>
          <a:ext cx="617318" cy="682659"/>
        </a:xfrm>
        <a:prstGeom prst="chevron">
          <a:avLst/>
        </a:prstGeom>
        <a:gradFill rotWithShape="0">
          <a:gsLst>
            <a:gs pos="0">
              <a:srgbClr val="4472C4">
                <a:hueOff val="-2941338"/>
                <a:satOff val="-4091"/>
                <a:lumOff val="-1569"/>
                <a:alphaOff val="0"/>
                <a:lumMod val="110000"/>
                <a:satMod val="105000"/>
                <a:tint val="67000"/>
              </a:srgbClr>
            </a:gs>
            <a:gs pos="50000">
              <a:srgbClr val="4472C4">
                <a:hueOff val="-2941338"/>
                <a:satOff val="-4091"/>
                <a:lumOff val="-1569"/>
                <a:alphaOff val="0"/>
                <a:lumMod val="105000"/>
                <a:satMod val="103000"/>
                <a:tint val="73000"/>
              </a:srgbClr>
            </a:gs>
            <a:gs pos="100000">
              <a:srgbClr val="4472C4">
                <a:hueOff val="-2941338"/>
                <a:satOff val="-4091"/>
                <a:lumOff val="-1569"/>
                <a:alphaOff val="0"/>
                <a:lumMod val="105000"/>
                <a:satMod val="109000"/>
                <a:tint val="81000"/>
              </a:srgbClr>
            </a:gs>
          </a:gsLst>
          <a:lin ang="5400000" scaled="0"/>
        </a:gradFill>
        <a:ln w="6350" cap="flat" cmpd="sng" algn="ctr">
          <a:solidFill>
            <a:srgbClr val="4472C4">
              <a:hueOff val="-2941338"/>
              <a:satOff val="-4091"/>
              <a:lumOff val="-1569"/>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Calibri" panose="020F0502020204030204"/>
              <a:ea typeface="+mn-ea"/>
              <a:cs typeface="+mn-cs"/>
            </a:rPr>
            <a:t>Referral</a:t>
          </a:r>
        </a:p>
      </dsp:txBody>
      <dsp:txXfrm rot="-5400000">
        <a:off x="29050" y="1042798"/>
        <a:ext cx="682659" cy="617318"/>
      </dsp:txXfrm>
    </dsp:sp>
    <dsp:sp modelId="{1128FAF4-0B72-0340-9C79-58F306576462}">
      <dsp:nvSpPr>
        <dsp:cNvPr id="0" name=""/>
        <dsp:cNvSpPr/>
      </dsp:nvSpPr>
      <dsp:spPr>
        <a:xfrm rot="5400000">
          <a:off x="3226958" y="-1406509"/>
          <a:ext cx="401256" cy="5299873"/>
        </a:xfrm>
        <a:prstGeom prst="round2SameRect">
          <a:avLst/>
        </a:prstGeom>
        <a:solidFill>
          <a:sysClr val="window" lastClr="FFFFFF">
            <a:alpha val="90000"/>
            <a:hueOff val="0"/>
            <a:satOff val="0"/>
            <a:lumOff val="0"/>
            <a:alphaOff val="0"/>
          </a:sysClr>
        </a:solidFill>
        <a:ln w="6350" cap="flat" cmpd="sng" algn="ctr">
          <a:solidFill>
            <a:srgbClr val="4472C4">
              <a:hueOff val="-2941338"/>
              <a:satOff val="-4091"/>
              <a:lumOff val="-1569"/>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TA provider list has been, and is continuously, vetted in partnership with end users and based on agreed-on quality standards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Organizations are connected with needed service providers</a:t>
          </a:r>
        </a:p>
      </dsp:txBody>
      <dsp:txXfrm rot="-5400000">
        <a:off x="777650" y="1062387"/>
        <a:ext cx="5280285" cy="362080"/>
      </dsp:txXfrm>
    </dsp:sp>
    <dsp:sp modelId="{7672DC89-F10A-AD4C-900D-D41B86B3E297}">
      <dsp:nvSpPr>
        <dsp:cNvPr id="0" name=""/>
        <dsp:cNvSpPr/>
      </dsp:nvSpPr>
      <dsp:spPr>
        <a:xfrm rot="5400000">
          <a:off x="61720" y="1530632"/>
          <a:ext cx="617318" cy="682659"/>
        </a:xfrm>
        <a:prstGeom prst="chevron">
          <a:avLst/>
        </a:prstGeom>
        <a:gradFill rotWithShape="0">
          <a:gsLst>
            <a:gs pos="0">
              <a:srgbClr val="4472C4">
                <a:hueOff val="-4412007"/>
                <a:satOff val="-6137"/>
                <a:lumOff val="-2353"/>
                <a:alphaOff val="0"/>
                <a:lumMod val="110000"/>
                <a:satMod val="105000"/>
                <a:tint val="67000"/>
              </a:srgbClr>
            </a:gs>
            <a:gs pos="50000">
              <a:srgbClr val="4472C4">
                <a:hueOff val="-4412007"/>
                <a:satOff val="-6137"/>
                <a:lumOff val="-2353"/>
                <a:alphaOff val="0"/>
                <a:lumMod val="105000"/>
                <a:satMod val="103000"/>
                <a:tint val="73000"/>
              </a:srgbClr>
            </a:gs>
            <a:gs pos="100000">
              <a:srgbClr val="4472C4">
                <a:hueOff val="-4412007"/>
                <a:satOff val="-6137"/>
                <a:lumOff val="-2353"/>
                <a:alphaOff val="0"/>
                <a:lumMod val="105000"/>
                <a:satMod val="109000"/>
                <a:tint val="81000"/>
              </a:srgbClr>
            </a:gs>
          </a:gsLst>
          <a:lin ang="5400000" scaled="0"/>
        </a:gradFill>
        <a:ln w="6350" cap="flat" cmpd="sng" algn="ctr">
          <a:solidFill>
            <a:srgbClr val="4472C4">
              <a:hueOff val="-4412007"/>
              <a:satOff val="-6137"/>
              <a:lumOff val="-2353"/>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Calibri" panose="020F0502020204030204"/>
              <a:ea typeface="+mn-ea"/>
              <a:cs typeface="+mn-cs"/>
            </a:rPr>
            <a:t>Service Delivery</a:t>
          </a:r>
        </a:p>
      </dsp:txBody>
      <dsp:txXfrm rot="-5400000">
        <a:off x="29050" y="1563302"/>
        <a:ext cx="682659" cy="617318"/>
      </dsp:txXfrm>
    </dsp:sp>
    <dsp:sp modelId="{2960B420-35AA-A149-8D16-86A87C0AC33E}">
      <dsp:nvSpPr>
        <dsp:cNvPr id="0" name=""/>
        <dsp:cNvSpPr/>
      </dsp:nvSpPr>
      <dsp:spPr>
        <a:xfrm rot="5400000">
          <a:off x="3226958" y="-886005"/>
          <a:ext cx="401256" cy="5299873"/>
        </a:xfrm>
        <a:prstGeom prst="round2SameRect">
          <a:avLst/>
        </a:prstGeom>
        <a:solidFill>
          <a:sysClr val="window" lastClr="FFFFFF">
            <a:alpha val="90000"/>
            <a:hueOff val="0"/>
            <a:satOff val="0"/>
            <a:lumOff val="0"/>
            <a:alphaOff val="0"/>
          </a:sysClr>
        </a:solidFill>
        <a:ln w="6350" cap="flat" cmpd="sng" algn="ctr">
          <a:solidFill>
            <a:srgbClr val="4472C4">
              <a:hueOff val="-4412007"/>
              <a:satOff val="-6137"/>
              <a:lumOff val="-2353"/>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EXTERNAL - Services are delivered by outside consultants, coaches, mentors and ta providers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INTERNAL - classroom trainings/workshops provided as needed</a:t>
          </a:r>
        </a:p>
      </dsp:txBody>
      <dsp:txXfrm rot="-5400000">
        <a:off x="777650" y="1582891"/>
        <a:ext cx="5280285" cy="362080"/>
      </dsp:txXfrm>
    </dsp:sp>
    <dsp:sp modelId="{4046E9ED-50FD-3B4B-867F-E958E0F6B9E1}">
      <dsp:nvSpPr>
        <dsp:cNvPr id="0" name=""/>
        <dsp:cNvSpPr/>
      </dsp:nvSpPr>
      <dsp:spPr>
        <a:xfrm rot="5400000">
          <a:off x="61720" y="2243381"/>
          <a:ext cx="617318" cy="682659"/>
        </a:xfrm>
        <a:prstGeom prst="chevron">
          <a:avLst/>
        </a:prstGeom>
        <a:gradFill rotWithShape="0">
          <a:gsLst>
            <a:gs pos="0">
              <a:srgbClr val="4472C4">
                <a:hueOff val="-5882676"/>
                <a:satOff val="-8182"/>
                <a:lumOff val="-3138"/>
                <a:alphaOff val="0"/>
                <a:lumMod val="110000"/>
                <a:satMod val="105000"/>
                <a:tint val="67000"/>
              </a:srgbClr>
            </a:gs>
            <a:gs pos="50000">
              <a:srgbClr val="4472C4">
                <a:hueOff val="-5882676"/>
                <a:satOff val="-8182"/>
                <a:lumOff val="-3138"/>
                <a:alphaOff val="0"/>
                <a:lumMod val="105000"/>
                <a:satMod val="103000"/>
                <a:tint val="73000"/>
              </a:srgbClr>
            </a:gs>
            <a:gs pos="100000">
              <a:srgbClr val="4472C4">
                <a:hueOff val="-5882676"/>
                <a:satOff val="-8182"/>
                <a:lumOff val="-3138"/>
                <a:alphaOff val="0"/>
                <a:lumMod val="105000"/>
                <a:satMod val="109000"/>
                <a:tint val="81000"/>
              </a:srgbClr>
            </a:gs>
          </a:gsLst>
          <a:lin ang="5400000" scaled="0"/>
        </a:gradFill>
        <a:ln w="6350" cap="flat" cmpd="sng" algn="ctr">
          <a:solidFill>
            <a:srgbClr val="4472C4">
              <a:hueOff val="-5882676"/>
              <a:satOff val="-8182"/>
              <a:lumOff val="-3138"/>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Calibri" panose="020F0502020204030204"/>
              <a:ea typeface="+mn-ea"/>
              <a:cs typeface="+mn-cs"/>
            </a:rPr>
            <a:t>Monitoring</a:t>
          </a:r>
        </a:p>
      </dsp:txBody>
      <dsp:txXfrm rot="-5400000">
        <a:off x="29050" y="2276051"/>
        <a:ext cx="682659" cy="617318"/>
      </dsp:txXfrm>
    </dsp:sp>
    <dsp:sp modelId="{3C46B855-A775-1F4E-9775-121E6465027E}">
      <dsp:nvSpPr>
        <dsp:cNvPr id="0" name=""/>
        <dsp:cNvSpPr/>
      </dsp:nvSpPr>
      <dsp:spPr>
        <a:xfrm rot="5400000">
          <a:off x="3034714" y="-173256"/>
          <a:ext cx="785745" cy="5299873"/>
        </a:xfrm>
        <a:prstGeom prst="round2SameRect">
          <a:avLst/>
        </a:prstGeom>
        <a:solidFill>
          <a:sysClr val="window" lastClr="FFFFFF">
            <a:alpha val="90000"/>
            <a:hueOff val="0"/>
            <a:satOff val="0"/>
            <a:lumOff val="0"/>
            <a:alphaOff val="0"/>
          </a:sysClr>
        </a:solidFill>
        <a:ln w="6350" cap="flat" cmpd="sng" algn="ctr">
          <a:solidFill>
            <a:srgbClr val="4472C4">
              <a:hueOff val="-5882676"/>
              <a:satOff val="-8182"/>
              <a:lumOff val="-3138"/>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0" kern="1200">
              <a:solidFill>
                <a:sysClr val="windowText" lastClr="000000">
                  <a:hueOff val="0"/>
                  <a:satOff val="0"/>
                  <a:lumOff val="0"/>
                  <a:alphaOff val="0"/>
                </a:sysClr>
              </a:solidFill>
              <a:latin typeface="Calibri" panose="020F0502020204030204"/>
              <a:ea typeface="+mn-ea"/>
              <a:cs typeface="+mn-cs"/>
            </a:rPr>
            <a:t>TA Providers are monitored and evaluated for quality control</a:t>
          </a:r>
        </a:p>
        <a:p>
          <a:pPr marL="57150" lvl="1" indent="-57150" algn="l" defTabSz="444500">
            <a:lnSpc>
              <a:spcPct val="90000"/>
            </a:lnSpc>
            <a:spcBef>
              <a:spcPct val="0"/>
            </a:spcBef>
            <a:spcAft>
              <a:spcPct val="15000"/>
            </a:spcAft>
            <a:buChar char="•"/>
          </a:pPr>
          <a:r>
            <a:rPr lang="en-US" sz="1000" b="0" kern="1200">
              <a:solidFill>
                <a:sysClr val="windowText" lastClr="000000">
                  <a:hueOff val="0"/>
                  <a:satOff val="0"/>
                  <a:lumOff val="0"/>
                  <a:alphaOff val="0"/>
                </a:sysClr>
              </a:solidFill>
              <a:latin typeface="Calibri" panose="020F0502020204030204"/>
              <a:ea typeface="+mn-ea"/>
              <a:cs typeface="+mn-cs"/>
            </a:rPr>
            <a:t>Organizations are monitored for capacity growth and progress toward success measures</a:t>
          </a:r>
        </a:p>
        <a:p>
          <a:pPr marL="57150" lvl="1" indent="-57150" algn="l" defTabSz="444500">
            <a:lnSpc>
              <a:spcPct val="90000"/>
            </a:lnSpc>
            <a:spcBef>
              <a:spcPct val="0"/>
            </a:spcBef>
            <a:spcAft>
              <a:spcPct val="15000"/>
            </a:spcAft>
            <a:buChar char="•"/>
          </a:pPr>
          <a:r>
            <a:rPr lang="en-US" sz="1000" b="0" kern="1200">
              <a:solidFill>
                <a:sysClr val="windowText" lastClr="000000">
                  <a:hueOff val="0"/>
                  <a:satOff val="0"/>
                  <a:lumOff val="0"/>
                  <a:alphaOff val="0"/>
                </a:sysClr>
              </a:solidFill>
              <a:latin typeface="Calibri" panose="020F0502020204030204"/>
              <a:ea typeface="+mn-ea"/>
              <a:cs typeface="+mn-cs"/>
            </a:rPr>
            <a:t>Learnings and best practices are shared by both TA providers and users leading to continual improvements in the services delivered</a:t>
          </a:r>
        </a:p>
      </dsp:txBody>
      <dsp:txXfrm rot="-5400000">
        <a:off x="777651" y="2122164"/>
        <a:ext cx="5261516" cy="709031"/>
      </dsp:txXfrm>
    </dsp:sp>
    <dsp:sp modelId="{E6D1E775-9C35-8949-B294-456BA98D17A5}">
      <dsp:nvSpPr>
        <dsp:cNvPr id="0" name=""/>
        <dsp:cNvSpPr/>
      </dsp:nvSpPr>
      <dsp:spPr>
        <a:xfrm rot="5400000">
          <a:off x="61720" y="2763885"/>
          <a:ext cx="617318" cy="682659"/>
        </a:xfrm>
        <a:prstGeom prst="chevron">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w="6350" cap="flat" cmpd="sng" algn="ctr">
          <a:solidFill>
            <a:srgbClr val="4472C4">
              <a:hueOff val="-7353344"/>
              <a:satOff val="-10228"/>
              <a:lumOff val="-3922"/>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Calibri" panose="020F0502020204030204"/>
              <a:ea typeface="+mn-ea"/>
              <a:cs typeface="+mn-cs"/>
            </a:rPr>
            <a:t>Payment</a:t>
          </a:r>
        </a:p>
      </dsp:txBody>
      <dsp:txXfrm rot="-5400000">
        <a:off x="29050" y="2796555"/>
        <a:ext cx="682659" cy="617318"/>
      </dsp:txXfrm>
    </dsp:sp>
    <dsp:sp modelId="{9282973F-F45F-8348-8A99-2A3F2B6020D1}">
      <dsp:nvSpPr>
        <dsp:cNvPr id="0" name=""/>
        <dsp:cNvSpPr/>
      </dsp:nvSpPr>
      <dsp:spPr>
        <a:xfrm rot="5400000">
          <a:off x="3256008" y="508094"/>
          <a:ext cx="401256" cy="5315557"/>
        </a:xfrm>
        <a:prstGeom prst="round2SameRect">
          <a:avLst/>
        </a:prstGeom>
        <a:solidFill>
          <a:sysClr val="window" lastClr="FFFFFF">
            <a:alpha val="90000"/>
            <a:hueOff val="0"/>
            <a:satOff val="0"/>
            <a:lumOff val="0"/>
            <a:alphaOff val="0"/>
          </a:sysClr>
        </a:solidFill>
        <a:ln w="6350" cap="flat" cmpd="sng" algn="ctr">
          <a:solidFill>
            <a:srgbClr val="4472C4">
              <a:hueOff val="-7353344"/>
              <a:satOff val="-10228"/>
              <a:lumOff val="-3922"/>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Services are paid for through a variety of means including vouchers, traditional fees, and "free" grant-funded servies</a:t>
          </a:r>
        </a:p>
      </dsp:txBody>
      <dsp:txXfrm rot="-5400000">
        <a:off x="798858" y="2984832"/>
        <a:ext cx="5295969" cy="36208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23346</CharactersWithSpaces>
  <SharedDoc>false</SharedDoc>
  <HLinks>
    <vt:vector size="6" baseType="variant">
      <vt:variant>
        <vt:i4>2883696</vt:i4>
      </vt:variant>
      <vt:variant>
        <vt:i4>0</vt:i4>
      </vt:variant>
      <vt:variant>
        <vt:i4>0</vt:i4>
      </vt:variant>
      <vt:variant>
        <vt:i4>5</vt:i4>
      </vt:variant>
      <vt:variant>
        <vt:lpwstr>http://standardsforexcellence.org/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DeSantis</dc:creator>
  <cp:keywords/>
  <dc:description/>
  <cp:lastModifiedBy>Andrew Kopietz</cp:lastModifiedBy>
  <cp:revision>2</cp:revision>
  <dcterms:created xsi:type="dcterms:W3CDTF">2018-12-05T20:35:00Z</dcterms:created>
  <dcterms:modified xsi:type="dcterms:W3CDTF">2018-12-05T20:35:00Z</dcterms:modified>
</cp:coreProperties>
</file>